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1ef91992d44f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7585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STARIJE  OSOBE DUBROVNIK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2.842.580,99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3.450.413,81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2.884.915,97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3.312.056,24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138.357,57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55.378,17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175.947,63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55.378,17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175.947,63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97.713,15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37.590,06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38,5</w:t>
            </w:r>
          </w:p>
        </w:tc>
      </w:tr>
    </w:tbl>
    <w:p>
      <w:pPr>
        <w:spacing w:before="0" w:after="0"/>
      </w:pPr>
    </w:p>
    <w:p>
      <w:r>
        <w:t xml:space="preserve">PR-RAS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prihodi poslovanja (šifra 6) povećanje indeksa (121,40)  u odnosu na 2024. godinu.</w:t>
      </w:r>
    </w:p>
    <w:p>
      <w:pPr>
        <w:jc w:val="both"/>
      </w:pPr>
      <w:r>
        <w:t xml:space="preserve">Povećanje prihoda iz Proračuna DNŽ indeks (132,40). Isti prihodi su veći zbog dodatnih ulaganja u zgradu ustanove ( sanacija štete od prokišnjavanja, sanacija prizemlja zgrade i sufinanciranje projekta za nabavu dizalice topline u iznosu 34.729,32 EUR, ostali dio prihoda je namjenjen za plaćanje materijalnih troškova dobavljačima.</w:t>
      </w:r>
    </w:p>
    <w:p>
      <w:pPr>
        <w:jc w:val="both"/>
      </w:pPr>
      <w:r>
        <w:t xml:space="preserve">Povećanje prihoda od donacija indeks (117,7) odnosi se na uplatu od Zaklade Blaga djela kojima se financiraju troškovi Odjela za pomoć i njegu u kući. Povećali su se troškovi pa su se samim tim povećali i prihodi od strane Zaklade.</w:t>
      </w:r>
    </w:p>
    <w:p>
      <w:pPr>
        <w:jc w:val="both"/>
      </w:pPr>
      <w:r>
        <w:t xml:space="preserve">Povećanje vlastitih prihoda (prihodi izvan institucije) indeks (118,1) zbog naplate zaostalih potraživanja.</w:t>
      </w:r>
    </w:p>
    <w:p>
      <w:pPr>
        <w:jc w:val="both"/>
      </w:pPr>
      <w:r>
        <w:t xml:space="preserve">Povećanje Pomoći iz inozemstva i od subjekata unutar općeg proračuna (šifre 631+632+633+634+635+636+637+638+639)  odnosi se na 2 projekta, prvi projekt je Dizalica topline sufinancirana od strane Fonda za zaštitu okoliša i energetsku učinkovitost u iznosu 96.771,31 EUR, a drugi projekt je Poboljšanje životnih uvjeta Domova za starije u Lugu i Dubrovniku koja su sufinancirana od strane Ministarstva regionalnog razvoja u iznosu 15.613,04 EUR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rashodi poslovanje (šifra 3)                                                                                                                                       </w:t>
      </w:r>
    </w:p>
    <w:p>
      <w:pPr>
        <w:jc w:val="both"/>
      </w:pPr>
      <w:r>
        <w:t xml:space="preserve">Povećanje indeksa (114,80) u odnosu na 2024. godinu. Pashodi su veći zbog povećanih cijena energenata i materijala i povećanja izdataka za plaće. U rashode za plaće umjesto 12 plaća uvršteno je njih 13 zbog promjene zakonske odredbe kojom je ukinut konto 193 od 01. 01. 2025. Ukupni iznos 13-te plaće je knjižen na razredu 3 te je uvelike utjecao na ukupni rezultat poslovanja i iznosi  183.143,37 EUR.</w:t>
      </w:r>
    </w:p>
    <w:p>
      <w:pPr>
        <w:pStyle w:val="ListParagraph"/>
        <w:numPr>
          <w:ilvl w:val="0"/>
          <w:numId w:val="4"/>
        </w:numPr>
        <w:jc w:val="both"/>
      </w:pPr>
      <w:r>
        <w:t xml:space="preserve">ukupni rashodi za nabavu nefinancijske imovine (šifra 4)</w:t>
      </w:r>
    </w:p>
    <w:p>
      <w:pPr>
        <w:jc w:val="both"/>
      </w:pPr>
      <w:r>
        <w:t xml:space="preserve">Povećanje indeksa (317,40) odnosi se na dodatna ulaganja u zgradu ustanove ( sanacija štete od prokišnjavanja, sanacija prizemlja zgrade, nabava dizalice topline u ukupnom iznosu 131.500,63 EUR . U okviru provedbe projekta Poboljšanje životnih uvjeta Domova za starije u Lugu i Dubrovniku nabavljeni su noćni ormarići u iznosu 18.562,50 EUR.</w:t>
      </w:r>
    </w:p>
    <w:p>
      <w:pPr>
        <w:jc w:val="both"/>
      </w:pPr>
      <w:r>
        <w:t xml:space="preserve">REZULTAT POSLOVANJA</w:t>
      </w:r>
    </w:p>
    <w:p>
      <w:pPr>
        <w:jc w:val="both"/>
      </w:pPr>
      <w:r>
        <w:t xml:space="preserve">U 2025. godini ostvaren je manjak u iznosu 37.590,06 EUR. Ukupni preneseni manjak na 01.01.2025. godine iznosi 348.770,78 EUR, što daje ukupni manjak u iznosu 386.360,84 EUR.</w:t>
      </w:r>
    </w:p>
    <w:p>
      <w:pPr>
        <w:jc w:val="both"/>
      </w:pPr>
      <w:r>
        <w:t xml:space="preserve">P-VRIO</w:t>
      </w:r>
    </w:p>
    <w:p>
      <w:pPr>
        <w:jc w:val="both"/>
      </w:pPr>
      <w:r>
        <w:t xml:space="preserve">Utvrđeno je smanjenje vrijednosti imovine u ukupnom iznosu 60.238,46 eura, koje je evidentirano kroz promjene u vrijednosti imovine (konto 951100). sukladno važećem računskom planu proračuna.</w:t>
      </w:r>
    </w:p>
    <w:p>
      <w:pPr>
        <w:jc w:val="both"/>
      </w:pPr>
      <w:r>
        <w:t xml:space="preserve"> </w:t>
      </w:r>
    </w:p>
    <w:p>
      <w:pPr>
        <w:jc w:val="both"/>
      </w:pPr>
      <w:r>
        <w:t xml:space="preserve"> </w:t>
      </w:r>
    </w:p>
    <w:p>
      <w:pPr>
        <w:jc w:val="both"/>
      </w:pPr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60.238,46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Utvrđeno je smanjenje vrijednosti imovine za 2025. godinu u ukupnom iznosu 60.238,46 EUR, koje je evidentirano kroz promjene u vrijednosti imovine konto 9151100 sukladno važećem računskom planu proračuna.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262.100,59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imamo dospjelih nenaplaćenih obveza prema dobavljačima za materijalne troškove iz razloga što nismo imali dovoljno sredstava.</w:t>
      </w:r>
    </w:p>
    <w:p>
      <w:r>
        <w:t xml:space="preserve">Na 01. 01. 2025. imali smo preneseni manjak u iznosu 348.770,78 EUR iz posljednje 4 godine.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2fa7138aa413d" /><Relationship Type="http://schemas.openxmlformats.org/officeDocument/2006/relationships/numbering" Target="/word/numbering.xml" Id="R250587684bbb4a18" /></Relationships>
</file>