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36BC2" w14:textId="77777777" w:rsidR="00E71D1C" w:rsidRPr="00E71D1C" w:rsidRDefault="00E71D1C" w:rsidP="00E71D1C">
      <w:pPr>
        <w:rPr>
          <w:b/>
          <w:bCs/>
        </w:rPr>
      </w:pPr>
      <w:r w:rsidRPr="00E71D1C">
        <w:rPr>
          <w:b/>
          <w:bCs/>
        </w:rPr>
        <w:t>Dokumentacija o nabavi</w:t>
      </w:r>
    </w:p>
    <w:p w14:paraId="5989EC6F" w14:textId="77777777" w:rsidR="00E71D1C" w:rsidRPr="00E71D1C" w:rsidRDefault="00E71D1C" w:rsidP="00E71D1C">
      <w:pPr>
        <w:rPr>
          <w:b/>
          <w:bCs/>
        </w:rPr>
      </w:pPr>
      <w:r w:rsidRPr="00E71D1C">
        <w:rPr>
          <w:b/>
          <w:bCs/>
        </w:rPr>
        <w:t>Dio II – Upute za ponuditelje</w:t>
      </w:r>
    </w:p>
    <w:p w14:paraId="1B403B03" w14:textId="77777777" w:rsidR="00E71D1C" w:rsidRPr="00E71D1C" w:rsidRDefault="00E71D1C" w:rsidP="00E71D1C">
      <w:pPr>
        <w:rPr>
          <w:i/>
          <w:iCs/>
        </w:rPr>
      </w:pPr>
      <w:r w:rsidRPr="00E71D1C">
        <w:rPr>
          <w:i/>
          <w:iCs/>
        </w:rPr>
        <w:br/>
        <w:t>PODACI O PONUDI</w:t>
      </w:r>
    </w:p>
    <w:p w14:paraId="0A24B005" w14:textId="77777777" w:rsidR="00E71D1C" w:rsidRPr="00E71D1C" w:rsidRDefault="00E71D1C" w:rsidP="00E71D1C">
      <w:r w:rsidRPr="00E71D1C">
        <w:t>2/25 - Električna energija</w:t>
      </w:r>
    </w:p>
    <w:p w14:paraId="3C815FB2" w14:textId="77777777" w:rsidR="00E71D1C" w:rsidRPr="00E71D1C" w:rsidRDefault="00E71D1C" w:rsidP="00E71D1C">
      <w:pPr>
        <w:numPr>
          <w:ilvl w:val="0"/>
          <w:numId w:val="1"/>
        </w:numPr>
      </w:pPr>
      <w:hyperlink r:id="rId5" w:anchor="podaci-o-postupku-nabave" w:history="1">
        <w:r w:rsidRPr="00E71D1C">
          <w:rPr>
            <w:rStyle w:val="Hiperveza"/>
          </w:rPr>
          <w:t>Podaci o postupku nabave</w:t>
        </w:r>
      </w:hyperlink>
    </w:p>
    <w:p w14:paraId="4A410C20" w14:textId="77777777" w:rsidR="00E71D1C" w:rsidRPr="00E71D1C" w:rsidRDefault="00E71D1C" w:rsidP="00E71D1C">
      <w:pPr>
        <w:numPr>
          <w:ilvl w:val="0"/>
          <w:numId w:val="1"/>
        </w:numPr>
      </w:pPr>
      <w:hyperlink r:id="rId6" w:anchor="sadrzaj-i-nacin-izrade" w:history="1">
        <w:r w:rsidRPr="00E71D1C">
          <w:rPr>
            <w:rStyle w:val="Hiperveza"/>
          </w:rPr>
          <w:t>Sadržaj i način izrade</w:t>
        </w:r>
      </w:hyperlink>
    </w:p>
    <w:p w14:paraId="3C7B0702" w14:textId="77777777" w:rsidR="00E71D1C" w:rsidRPr="00E71D1C" w:rsidRDefault="00E71D1C" w:rsidP="00E71D1C">
      <w:pPr>
        <w:numPr>
          <w:ilvl w:val="1"/>
          <w:numId w:val="1"/>
        </w:numPr>
      </w:pPr>
      <w:hyperlink r:id="rId7" w:anchor="nacin-dostave" w:history="1">
        <w:r w:rsidRPr="00E71D1C">
          <w:rPr>
            <w:rStyle w:val="Hiperveza"/>
          </w:rPr>
          <w:t>Način dostave</w:t>
        </w:r>
      </w:hyperlink>
    </w:p>
    <w:p w14:paraId="56C8BA55" w14:textId="77777777" w:rsidR="00E71D1C" w:rsidRPr="00E71D1C" w:rsidRDefault="00E71D1C" w:rsidP="00E71D1C">
      <w:pPr>
        <w:numPr>
          <w:ilvl w:val="1"/>
          <w:numId w:val="1"/>
        </w:numPr>
      </w:pPr>
      <w:hyperlink r:id="rId8" w:anchor="tajnost-dokumentacije-gospodarskih-subjekata" w:history="1">
        <w:r w:rsidRPr="00E71D1C">
          <w:rPr>
            <w:rStyle w:val="Hiperveza"/>
          </w:rPr>
          <w:t>Tajnost dokumentacije gospodarskih subjekata</w:t>
        </w:r>
      </w:hyperlink>
    </w:p>
    <w:p w14:paraId="6DA12A37" w14:textId="77777777" w:rsidR="00E71D1C" w:rsidRPr="00E71D1C" w:rsidRDefault="00E71D1C" w:rsidP="00E71D1C">
      <w:pPr>
        <w:numPr>
          <w:ilvl w:val="1"/>
          <w:numId w:val="1"/>
        </w:numPr>
      </w:pPr>
      <w:hyperlink r:id="rId9" w:anchor="izmjena-ponude-i-odustajanje-od-ponude" w:history="1">
        <w:r w:rsidRPr="00E71D1C">
          <w:rPr>
            <w:rStyle w:val="Hiperveza"/>
          </w:rPr>
          <w:t>Izmjena ponude i odustajanje od ponude</w:t>
        </w:r>
      </w:hyperlink>
    </w:p>
    <w:p w14:paraId="5ADD69EE" w14:textId="77777777" w:rsidR="00E71D1C" w:rsidRPr="00E71D1C" w:rsidRDefault="00E71D1C" w:rsidP="00E71D1C">
      <w:pPr>
        <w:numPr>
          <w:ilvl w:val="1"/>
          <w:numId w:val="1"/>
        </w:numPr>
      </w:pPr>
      <w:hyperlink r:id="rId10" w:anchor="postupanje-u-postupcima-javne-nabave-u-slucaju-nedostupnosti-eojn-rh" w:history="1">
        <w:r w:rsidRPr="00E71D1C">
          <w:rPr>
            <w:rStyle w:val="Hiperveza"/>
          </w:rPr>
          <w:t>Postupanje u postupcima javne nabave u slučaju nedostupnosti EOJN RH</w:t>
        </w:r>
      </w:hyperlink>
    </w:p>
    <w:p w14:paraId="7B35A34D" w14:textId="77777777" w:rsidR="00E71D1C" w:rsidRPr="00E71D1C" w:rsidRDefault="00E71D1C" w:rsidP="00E71D1C">
      <w:pPr>
        <w:numPr>
          <w:ilvl w:val="0"/>
          <w:numId w:val="1"/>
        </w:numPr>
      </w:pPr>
      <w:hyperlink r:id="rId11" w:anchor="odredbe-o-ponudi" w:history="1">
        <w:r w:rsidRPr="00E71D1C">
          <w:rPr>
            <w:rStyle w:val="Hiperveza"/>
          </w:rPr>
          <w:t>Odredbe o ponudi</w:t>
        </w:r>
      </w:hyperlink>
    </w:p>
    <w:p w14:paraId="53C6CAFD" w14:textId="77777777" w:rsidR="00E71D1C" w:rsidRPr="00E71D1C" w:rsidRDefault="00E71D1C" w:rsidP="00E71D1C">
      <w:pPr>
        <w:numPr>
          <w:ilvl w:val="1"/>
          <w:numId w:val="1"/>
        </w:numPr>
      </w:pPr>
      <w:hyperlink r:id="rId12" w:anchor="varijante-ponude" w:history="1">
        <w:r w:rsidRPr="00E71D1C">
          <w:rPr>
            <w:rStyle w:val="Hiperveza"/>
          </w:rPr>
          <w:t>Varijante ponude</w:t>
        </w:r>
      </w:hyperlink>
    </w:p>
    <w:p w14:paraId="0C663C3B" w14:textId="77777777" w:rsidR="00E71D1C" w:rsidRPr="00E71D1C" w:rsidRDefault="00E71D1C" w:rsidP="00E71D1C">
      <w:pPr>
        <w:numPr>
          <w:ilvl w:val="1"/>
          <w:numId w:val="1"/>
        </w:numPr>
      </w:pPr>
      <w:hyperlink r:id="rId13" w:anchor="nacin-odreivanja-cijene-ponude" w:history="1">
        <w:r w:rsidRPr="00E71D1C">
          <w:rPr>
            <w:rStyle w:val="Hiperveza"/>
          </w:rPr>
          <w:t>Način određivanja cijene ponude</w:t>
        </w:r>
      </w:hyperlink>
    </w:p>
    <w:p w14:paraId="492161A0" w14:textId="77777777" w:rsidR="00E71D1C" w:rsidRPr="00E71D1C" w:rsidRDefault="00E71D1C" w:rsidP="00E71D1C">
      <w:pPr>
        <w:numPr>
          <w:ilvl w:val="1"/>
          <w:numId w:val="1"/>
        </w:numPr>
      </w:pPr>
      <w:hyperlink r:id="rId14" w:anchor="valuta-ponude" w:history="1">
        <w:r w:rsidRPr="00E71D1C">
          <w:rPr>
            <w:rStyle w:val="Hiperveza"/>
          </w:rPr>
          <w:t>Valuta ponude</w:t>
        </w:r>
      </w:hyperlink>
    </w:p>
    <w:p w14:paraId="20AB07D3" w14:textId="77777777" w:rsidR="00E71D1C" w:rsidRPr="00E71D1C" w:rsidRDefault="00E71D1C" w:rsidP="00E71D1C">
      <w:pPr>
        <w:numPr>
          <w:ilvl w:val="1"/>
          <w:numId w:val="1"/>
        </w:numPr>
      </w:pPr>
      <w:hyperlink r:id="rId15" w:anchor="kriterij-za-odabir-ponude" w:history="1">
        <w:r w:rsidRPr="00E71D1C">
          <w:rPr>
            <w:rStyle w:val="Hiperveza"/>
          </w:rPr>
          <w:t>Kriterij za odabir ponude</w:t>
        </w:r>
      </w:hyperlink>
    </w:p>
    <w:p w14:paraId="5C57F52E" w14:textId="77777777" w:rsidR="00E71D1C" w:rsidRPr="00E71D1C" w:rsidRDefault="00E71D1C" w:rsidP="00E71D1C">
      <w:pPr>
        <w:numPr>
          <w:ilvl w:val="1"/>
          <w:numId w:val="1"/>
        </w:numPr>
      </w:pPr>
      <w:hyperlink r:id="rId16" w:anchor="jezik-i-pismo-na-kojem-se-izrauje-ponuda-ili-njezin-dio" w:history="1">
        <w:r w:rsidRPr="00E71D1C">
          <w:rPr>
            <w:rStyle w:val="Hiperveza"/>
          </w:rPr>
          <w:t>Jezik i pismo na kojem se izrađuje ponuda ili njezin dio</w:t>
        </w:r>
      </w:hyperlink>
    </w:p>
    <w:p w14:paraId="3565C326" w14:textId="77777777" w:rsidR="00E71D1C" w:rsidRPr="00E71D1C" w:rsidRDefault="00E71D1C" w:rsidP="00E71D1C">
      <w:pPr>
        <w:numPr>
          <w:ilvl w:val="1"/>
          <w:numId w:val="1"/>
        </w:numPr>
      </w:pPr>
      <w:hyperlink r:id="rId17" w:anchor="rok-valjanosti-ponude" w:history="1">
        <w:r w:rsidRPr="00E71D1C">
          <w:rPr>
            <w:rStyle w:val="Hiperveza"/>
          </w:rPr>
          <w:t>Rok valjanosti ponude</w:t>
        </w:r>
      </w:hyperlink>
    </w:p>
    <w:p w14:paraId="1BFC4FB0" w14:textId="77777777" w:rsidR="00E71D1C" w:rsidRPr="00E71D1C" w:rsidRDefault="00E71D1C" w:rsidP="00E71D1C">
      <w:pPr>
        <w:numPr>
          <w:ilvl w:val="0"/>
          <w:numId w:val="1"/>
        </w:numPr>
      </w:pPr>
      <w:hyperlink r:id="rId18" w:anchor="ostale-odredbe" w:history="1">
        <w:r w:rsidRPr="00E71D1C">
          <w:rPr>
            <w:rStyle w:val="Hiperveza"/>
          </w:rPr>
          <w:t>Ostale odredbe</w:t>
        </w:r>
      </w:hyperlink>
    </w:p>
    <w:p w14:paraId="3989E655" w14:textId="77777777" w:rsidR="00E71D1C" w:rsidRPr="00E71D1C" w:rsidRDefault="00E71D1C" w:rsidP="00E71D1C">
      <w:pPr>
        <w:numPr>
          <w:ilvl w:val="1"/>
          <w:numId w:val="1"/>
        </w:numPr>
      </w:pPr>
      <w:hyperlink r:id="rId19" w:anchor="vrsta-sredstvo-i-uvjeti-jamstva" w:history="1">
        <w:r w:rsidRPr="00E71D1C">
          <w:rPr>
            <w:rStyle w:val="Hiperveza"/>
          </w:rPr>
          <w:t>Vrsta, sredstvo i uvjeti jamstva</w:t>
        </w:r>
      </w:hyperlink>
    </w:p>
    <w:p w14:paraId="7A562B15" w14:textId="77777777" w:rsidR="00E71D1C" w:rsidRPr="00E71D1C" w:rsidRDefault="00E71D1C" w:rsidP="00E71D1C">
      <w:pPr>
        <w:numPr>
          <w:ilvl w:val="2"/>
          <w:numId w:val="1"/>
        </w:numPr>
      </w:pPr>
      <w:hyperlink r:id="rId20" w:anchor="jamstvo-za-ozbiljnost-ponude" w:history="1">
        <w:r w:rsidRPr="00E71D1C">
          <w:rPr>
            <w:rStyle w:val="Hiperveza"/>
          </w:rPr>
          <w:t>Jamstvo za ozbiljnost ponude</w:t>
        </w:r>
      </w:hyperlink>
    </w:p>
    <w:p w14:paraId="56BFCD86" w14:textId="77777777" w:rsidR="00E71D1C" w:rsidRPr="00E71D1C" w:rsidRDefault="00E71D1C" w:rsidP="00E71D1C">
      <w:pPr>
        <w:numPr>
          <w:ilvl w:val="1"/>
          <w:numId w:val="1"/>
        </w:numPr>
      </w:pPr>
      <w:hyperlink r:id="rId21" w:anchor="datum-vrijeme-i-mjesto-javnog-otvaranja-ponuda" w:history="1">
        <w:r w:rsidRPr="00E71D1C">
          <w:rPr>
            <w:rStyle w:val="Hiperveza"/>
          </w:rPr>
          <w:t>Datum, vrijeme i mjesto (javnog) otvaranja ponuda</w:t>
        </w:r>
      </w:hyperlink>
    </w:p>
    <w:p w14:paraId="173C6220" w14:textId="77777777" w:rsidR="00E71D1C" w:rsidRPr="00E71D1C" w:rsidRDefault="00E71D1C" w:rsidP="00E71D1C">
      <w:pPr>
        <w:numPr>
          <w:ilvl w:val="1"/>
          <w:numId w:val="1"/>
        </w:numPr>
      </w:pPr>
      <w:hyperlink r:id="rId22" w:anchor="navod-o-primjeni-trgovackih-obicaja-uzanci" w:history="1">
        <w:r w:rsidRPr="00E71D1C">
          <w:rPr>
            <w:rStyle w:val="Hiperveza"/>
          </w:rPr>
          <w:t>Navod o primjeni trgovačkih običaja (uzanci)</w:t>
        </w:r>
      </w:hyperlink>
    </w:p>
    <w:p w14:paraId="028D344E" w14:textId="77777777" w:rsidR="00E71D1C" w:rsidRPr="00E71D1C" w:rsidRDefault="00E71D1C" w:rsidP="00E71D1C">
      <w:pPr>
        <w:numPr>
          <w:ilvl w:val="1"/>
          <w:numId w:val="1"/>
        </w:numPr>
      </w:pPr>
      <w:hyperlink r:id="rId23" w:anchor="rok-za-donosenje-odluke-o-odabiru-ili-ponistenju" w:history="1">
        <w:r w:rsidRPr="00E71D1C">
          <w:rPr>
            <w:rStyle w:val="Hiperveza"/>
          </w:rPr>
          <w:t>Rok za donošenje odluke o odabiru ili poništenju</w:t>
        </w:r>
      </w:hyperlink>
    </w:p>
    <w:p w14:paraId="7E1C3D2B" w14:textId="77777777" w:rsidR="00E71D1C" w:rsidRPr="00E71D1C" w:rsidRDefault="00E71D1C" w:rsidP="00E71D1C">
      <w:pPr>
        <w:numPr>
          <w:ilvl w:val="1"/>
          <w:numId w:val="1"/>
        </w:numPr>
      </w:pPr>
      <w:hyperlink r:id="rId24" w:anchor="rok-nacin-i-uvjeti-placanja" w:history="1">
        <w:r w:rsidRPr="00E71D1C">
          <w:rPr>
            <w:rStyle w:val="Hiperveza"/>
          </w:rPr>
          <w:t>Rok, način i uvjeti plaćanja</w:t>
        </w:r>
      </w:hyperlink>
    </w:p>
    <w:p w14:paraId="1C639A9A" w14:textId="77777777" w:rsidR="00E71D1C" w:rsidRPr="00E71D1C" w:rsidRDefault="00E71D1C" w:rsidP="00E71D1C">
      <w:pPr>
        <w:numPr>
          <w:ilvl w:val="1"/>
          <w:numId w:val="1"/>
        </w:numPr>
      </w:pPr>
      <w:hyperlink r:id="rId25" w:anchor="rok-za-izjavljivanje-zalbe-na-dokumentaciju-o-nabavi-te-naziv-i-adresa-zalbenog-tijela" w:history="1">
        <w:r w:rsidRPr="00E71D1C">
          <w:rPr>
            <w:rStyle w:val="Hiperveza"/>
          </w:rPr>
          <w:t>Rok za izjavljivanje žalbe na dokumentaciju o nabavi te naziv i adresa žalbenog tijela</w:t>
        </w:r>
      </w:hyperlink>
    </w:p>
    <w:p w14:paraId="342ED9CB" w14:textId="77777777" w:rsidR="00E71D1C" w:rsidRPr="00E71D1C" w:rsidRDefault="00E71D1C" w:rsidP="00E71D1C">
      <w:pPr>
        <w:rPr>
          <w:b/>
          <w:bCs/>
        </w:rPr>
      </w:pPr>
      <w:r w:rsidRPr="00E71D1C">
        <w:rPr>
          <w:b/>
          <w:bCs/>
        </w:rPr>
        <w:t>Podaci o postupku nabave</w:t>
      </w:r>
    </w:p>
    <w:p w14:paraId="0465FE0B" w14:textId="77777777" w:rsidR="00E71D1C" w:rsidRPr="00E71D1C" w:rsidRDefault="00E71D1C" w:rsidP="00E71D1C">
      <w:r w:rsidRPr="00E71D1C">
        <w:t>Naziv postupka nabave: </w:t>
      </w:r>
      <w:r w:rsidRPr="00E71D1C">
        <w:rPr>
          <w:b/>
          <w:bCs/>
        </w:rPr>
        <w:t>Električna energija</w:t>
      </w:r>
    </w:p>
    <w:p w14:paraId="57CF8F70" w14:textId="77777777" w:rsidR="00E71D1C" w:rsidRPr="00E71D1C" w:rsidRDefault="00E71D1C" w:rsidP="00E71D1C">
      <w:r w:rsidRPr="00E71D1C">
        <w:t>Evidencijski broj nabave: </w:t>
      </w:r>
      <w:r w:rsidRPr="00E71D1C">
        <w:rPr>
          <w:b/>
          <w:bCs/>
        </w:rPr>
        <w:t>2/25</w:t>
      </w:r>
    </w:p>
    <w:p w14:paraId="50BE924E" w14:textId="77777777" w:rsidR="00E71D1C" w:rsidRPr="00E71D1C" w:rsidRDefault="00E71D1C" w:rsidP="00E71D1C">
      <w:pPr>
        <w:rPr>
          <w:b/>
          <w:bCs/>
        </w:rPr>
      </w:pPr>
      <w:r w:rsidRPr="00E71D1C">
        <w:rPr>
          <w:b/>
          <w:bCs/>
        </w:rPr>
        <w:t>Sadržaj i način izrade</w:t>
      </w:r>
    </w:p>
    <w:p w14:paraId="39FF9347" w14:textId="77777777" w:rsidR="00E71D1C" w:rsidRPr="00E71D1C" w:rsidRDefault="00E71D1C" w:rsidP="00E71D1C">
      <w:r w:rsidRPr="00E71D1C">
        <w:lastRenderedPageBreak/>
        <w:t>Pri izradi ponude ponuditelj se mora pridržavati zahtjeva i uvjeta iz Dokumentacije o nabavi te ne smije mijenjati ni nadopunjavati tekst Dokumentacije o nabavi. Dokumentacija o nabavi se ne naplaćuje te se može preuzeti u cijelosti na internetskoj stranici: </w:t>
      </w:r>
      <w:hyperlink r:id="rId26" w:history="1">
        <w:r w:rsidRPr="00E71D1C">
          <w:rPr>
            <w:rStyle w:val="Hiperveza"/>
          </w:rPr>
          <w:t>Dokumentacija o nabavi</w:t>
        </w:r>
      </w:hyperlink>
    </w:p>
    <w:p w14:paraId="1CC1D593" w14:textId="77777777" w:rsidR="00E71D1C" w:rsidRPr="00E71D1C" w:rsidRDefault="00E71D1C" w:rsidP="00E71D1C">
      <w:r w:rsidRPr="00E71D1C">
        <w:rPr>
          <w:b/>
          <w:bCs/>
        </w:rPr>
        <w:t>Elektronička ponuda mora sadržavati najmanje:</w:t>
      </w:r>
    </w:p>
    <w:p w14:paraId="532B2684" w14:textId="77777777" w:rsidR="00E71D1C" w:rsidRPr="00E71D1C" w:rsidRDefault="00E71D1C" w:rsidP="00E71D1C">
      <w:pPr>
        <w:numPr>
          <w:ilvl w:val="0"/>
          <w:numId w:val="2"/>
        </w:numPr>
      </w:pPr>
      <w:r w:rsidRPr="00E71D1C">
        <w:t>Uvez ponude</w:t>
      </w:r>
    </w:p>
    <w:p w14:paraId="3971860C" w14:textId="77777777" w:rsidR="00E71D1C" w:rsidRPr="00E71D1C" w:rsidRDefault="00E71D1C" w:rsidP="00E71D1C">
      <w:pPr>
        <w:numPr>
          <w:ilvl w:val="0"/>
          <w:numId w:val="2"/>
        </w:numPr>
      </w:pPr>
      <w:r w:rsidRPr="00E71D1C">
        <w:t xml:space="preserve">Popunjeni </w:t>
      </w:r>
      <w:proofErr w:type="spellStart"/>
      <w:r w:rsidRPr="00E71D1C">
        <w:t>eESPD</w:t>
      </w:r>
      <w:proofErr w:type="spellEnd"/>
      <w:r w:rsidRPr="00E71D1C">
        <w:t xml:space="preserve"> obrazac (ili više njih, ako je primjenjivo)</w:t>
      </w:r>
    </w:p>
    <w:p w14:paraId="53304A02" w14:textId="77777777" w:rsidR="00E71D1C" w:rsidRPr="00E71D1C" w:rsidRDefault="00E71D1C" w:rsidP="00E71D1C">
      <w:pPr>
        <w:numPr>
          <w:ilvl w:val="0"/>
          <w:numId w:val="2"/>
        </w:numPr>
      </w:pPr>
      <w:r w:rsidRPr="00E71D1C">
        <w:t>Popunjen troškovnik</w:t>
      </w:r>
    </w:p>
    <w:p w14:paraId="7E940BC9" w14:textId="77777777" w:rsidR="00E71D1C" w:rsidRPr="00E71D1C" w:rsidRDefault="00E71D1C" w:rsidP="00E71D1C">
      <w:pPr>
        <w:numPr>
          <w:ilvl w:val="1"/>
          <w:numId w:val="2"/>
        </w:numPr>
      </w:pPr>
      <w:r w:rsidRPr="00E71D1C">
        <w:t>Troškovnik naručitelj prilaže dokumentaciji o nabavi za predmet / grupu. Ponuditelj mora popuniti troškovnik i učitati ga prilikom pripreme ponude na EOJN.</w:t>
      </w:r>
    </w:p>
    <w:p w14:paraId="10950ECA" w14:textId="77777777" w:rsidR="00E71D1C" w:rsidRPr="00E71D1C" w:rsidRDefault="00E71D1C" w:rsidP="00E71D1C">
      <w:pPr>
        <w:numPr>
          <w:ilvl w:val="0"/>
          <w:numId w:val="2"/>
        </w:numPr>
      </w:pPr>
      <w:r w:rsidRPr="00E71D1C">
        <w:t>Vrijednosti kriterija za odabir ponude</w:t>
      </w:r>
    </w:p>
    <w:p w14:paraId="41651D18" w14:textId="77777777" w:rsidR="00E71D1C" w:rsidRPr="00E71D1C" w:rsidRDefault="00E71D1C" w:rsidP="00E71D1C">
      <w:pPr>
        <w:numPr>
          <w:ilvl w:val="1"/>
          <w:numId w:val="2"/>
        </w:numPr>
      </w:pPr>
      <w:r w:rsidRPr="00E71D1C">
        <w:t>Unos numeričkih vrijednosti kriterija za odabir sastavni je dio popunjavanja elektroničke ponude te se traženi dokument Podaci - vrijednosti kriterija za odabir generira putem EOJN i prilaže ponudi.</w:t>
      </w:r>
    </w:p>
    <w:p w14:paraId="5F1A0705" w14:textId="77777777" w:rsidR="00E71D1C" w:rsidRPr="00E71D1C" w:rsidRDefault="00E71D1C" w:rsidP="00E71D1C">
      <w:pPr>
        <w:numPr>
          <w:ilvl w:val="0"/>
          <w:numId w:val="2"/>
        </w:numPr>
      </w:pPr>
      <w:r w:rsidRPr="00E71D1C">
        <w:t>Jamstvo za ozbiljnost ponude u iznosu (EUR): 2.400,00 (detalji dalje u dokumentaciji)</w:t>
      </w:r>
    </w:p>
    <w:p w14:paraId="048C3AD7" w14:textId="77777777" w:rsidR="00E71D1C" w:rsidRPr="00E71D1C" w:rsidRDefault="00E71D1C" w:rsidP="00E71D1C">
      <w:pPr>
        <w:rPr>
          <w:b/>
          <w:bCs/>
        </w:rPr>
      </w:pPr>
      <w:r w:rsidRPr="00E71D1C">
        <w:rPr>
          <w:b/>
          <w:bCs/>
        </w:rPr>
        <w:t>Način dostave</w:t>
      </w:r>
    </w:p>
    <w:p w14:paraId="12B9EC6D" w14:textId="77777777" w:rsidR="00E71D1C" w:rsidRPr="00E71D1C" w:rsidRDefault="00E71D1C" w:rsidP="00E71D1C">
      <w:r w:rsidRPr="00E71D1C">
        <w:t>Ponuda se dostavlja elektroničkim sredstvima komunikacije putem EOJN RH. Sukladno ZJN 2016. smatra se da ponuda dostavljena elektroničkim sredstvima komunikacije putem EOJN RH obvezuje ponuditelja u roku valjanosti ponude neovisno o tome je li potpisana ili nije te da naručitelj ne smije odbiti takvu ponudu samo zbog tog razloga.</w:t>
      </w:r>
    </w:p>
    <w:p w14:paraId="01AFCC6C" w14:textId="77777777" w:rsidR="00E71D1C" w:rsidRPr="00E71D1C" w:rsidRDefault="00E71D1C" w:rsidP="00E71D1C">
      <w:r w:rsidRPr="00E71D1C">
        <w:t>Ponuda se izrađuje na način da čini cjelinu. Ako zbog opsega ili drugih objektivnih okolnosti ponuda ne može biti izrađena na način da čini cjelinu, onda se izrađuje u dva ili više dijelova.</w:t>
      </w:r>
    </w:p>
    <w:p w14:paraId="5041EEE6" w14:textId="77777777" w:rsidR="00E71D1C" w:rsidRPr="00E71D1C" w:rsidRDefault="00E71D1C" w:rsidP="00E71D1C">
      <w:r w:rsidRPr="00E71D1C">
        <w:t>Ukoliko pri elektroničkoj dostavi ponude iz tehničkih razloga nije moguće sigurno povezivanje svih dijelova ponude, naručitelj prihvaća dostavu u papirnatom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w:t>
      </w:r>
    </w:p>
    <w:p w14:paraId="0C76D915" w14:textId="77777777" w:rsidR="00E71D1C" w:rsidRPr="00E71D1C" w:rsidRDefault="00E71D1C" w:rsidP="00E71D1C">
      <w:r w:rsidRPr="00E71D1C">
        <w:t>Također, ponuditelji u papirnatom obliku, u roku za dostavu ponuda, dostavljaju dokumente drugih tijela ili subjekata koji su važeći samo u izvorniku, ako ih elektroničkim sredstvom nije moguće dostaviti u izvorniku, poput jamstva za ozbiljnost ponude.</w:t>
      </w:r>
    </w:p>
    <w:p w14:paraId="4672B7D8" w14:textId="77777777" w:rsidR="00E71D1C" w:rsidRPr="00E71D1C" w:rsidRDefault="00E71D1C" w:rsidP="00E71D1C">
      <w:r w:rsidRPr="00E71D1C">
        <w:t>U slučaju kada ponuditelj uz elektroničku dostavu ponuda u papirnatom obliku dostavlja određene dokumente koji ne postoje u elektroničkom obliku, ponuditelj ih dostavlja u zatvorenoj omotnici na kojoj je obvezan naznačiti na koji postupak javne nabave i na koju ponudu se odvojeni dokumenti odnose te takva omotnica sadrži sve podatke s dodatkom „dio/dijelovi ponude koji se dostavlja/ju odvojeno“. Zatvorenu omotnicu s dijelom/dijelovima ponude ponuditelj predaje neposredno ili poštanskom pošiljkom, u zatvorenoj omotnici na kojoj mora biti naznačeno:</w:t>
      </w:r>
    </w:p>
    <w:p w14:paraId="3A03C2AB" w14:textId="77777777" w:rsidR="00E71D1C" w:rsidRPr="00E71D1C" w:rsidRDefault="00E71D1C" w:rsidP="00E71D1C">
      <w:r w:rsidRPr="00E71D1C">
        <w:pict w14:anchorId="7F296F77">
          <v:rect id="_x0000_i1049" style="width:0;height:1.5pt" o:hralign="center" o:hrstd="t" o:hrnoshade="t" o:hr="t" fillcolor="black" stroked="f"/>
        </w:pict>
      </w:r>
    </w:p>
    <w:p w14:paraId="3D4FF4DC" w14:textId="77777777" w:rsidR="00E71D1C" w:rsidRPr="00E71D1C" w:rsidRDefault="00E71D1C" w:rsidP="00E71D1C">
      <w:r w:rsidRPr="00E71D1C">
        <w:rPr>
          <w:b/>
          <w:bCs/>
        </w:rPr>
        <w:t>Dom za starije osobe Dubrovnik</w:t>
      </w:r>
    </w:p>
    <w:p w14:paraId="3F71747D" w14:textId="77777777" w:rsidR="00E71D1C" w:rsidRPr="00E71D1C" w:rsidRDefault="00E71D1C" w:rsidP="00E71D1C">
      <w:r w:rsidRPr="00E71D1C">
        <w:rPr>
          <w:b/>
          <w:bCs/>
        </w:rPr>
        <w:t>Branitelja Dubrovnika 33</w:t>
      </w:r>
      <w:r w:rsidRPr="00E71D1C">
        <w:t>, </w:t>
      </w:r>
      <w:r w:rsidRPr="00E71D1C">
        <w:rPr>
          <w:b/>
          <w:bCs/>
        </w:rPr>
        <w:t>20000 Dubrovnik</w:t>
      </w:r>
    </w:p>
    <w:p w14:paraId="7E8EADB5" w14:textId="77777777" w:rsidR="00E71D1C" w:rsidRPr="00E71D1C" w:rsidRDefault="00E71D1C" w:rsidP="00E71D1C">
      <w:r w:rsidRPr="00E71D1C">
        <w:lastRenderedPageBreak/>
        <w:t>Električna energija</w:t>
      </w:r>
    </w:p>
    <w:p w14:paraId="42AAF1D7" w14:textId="77777777" w:rsidR="00E71D1C" w:rsidRPr="00E71D1C" w:rsidRDefault="00E71D1C" w:rsidP="00E71D1C">
      <w:r w:rsidRPr="00E71D1C">
        <w:t>2/25</w:t>
      </w:r>
    </w:p>
    <w:p w14:paraId="330C8CF6" w14:textId="77777777" w:rsidR="00E71D1C" w:rsidRPr="00E71D1C" w:rsidRDefault="00E71D1C" w:rsidP="00E71D1C">
      <w:r w:rsidRPr="00E71D1C">
        <w:t>Dio/dijelovi ponude koji se dostavljaju odvojeno</w:t>
      </w:r>
    </w:p>
    <w:p w14:paraId="03889AA1" w14:textId="77777777" w:rsidR="00E71D1C" w:rsidRPr="00E71D1C" w:rsidRDefault="00E71D1C" w:rsidP="00E71D1C">
      <w:r w:rsidRPr="00E71D1C">
        <w:rPr>
          <w:b/>
          <w:bCs/>
        </w:rPr>
        <w:t>NE OTVARAJ</w:t>
      </w:r>
    </w:p>
    <w:p w14:paraId="2AA0BD20" w14:textId="77777777" w:rsidR="00E71D1C" w:rsidRPr="00E71D1C" w:rsidRDefault="00E71D1C" w:rsidP="00E71D1C">
      <w:r w:rsidRPr="00E71D1C">
        <w:pict w14:anchorId="73A62C40">
          <v:rect id="_x0000_i1050" style="width:0;height:1.5pt" o:hralign="center" o:hrstd="t" o:hrnoshade="t" o:hr="t" fillcolor="black" stroked="f"/>
        </w:pict>
      </w:r>
    </w:p>
    <w:p w14:paraId="738435A9" w14:textId="77777777" w:rsidR="00E71D1C" w:rsidRPr="00E71D1C" w:rsidRDefault="00E71D1C" w:rsidP="00E71D1C">
      <w:r w:rsidRPr="00E71D1C">
        <w:t>na poleđini ili u gornjem lijevom kutu omotnice:</w:t>
      </w:r>
    </w:p>
    <w:p w14:paraId="320B87B6" w14:textId="77777777" w:rsidR="00E71D1C" w:rsidRPr="00E71D1C" w:rsidRDefault="00E71D1C" w:rsidP="00E71D1C">
      <w:r w:rsidRPr="00E71D1C">
        <w:pict w14:anchorId="48FC958D">
          <v:rect id="_x0000_i1051" style="width:0;height:1.5pt" o:hralign="center" o:hrstd="t" o:hrnoshade="t" o:hr="t" fillcolor="black" stroked="f"/>
        </w:pict>
      </w:r>
    </w:p>
    <w:p w14:paraId="7F621992" w14:textId="77777777" w:rsidR="00E71D1C" w:rsidRPr="00E71D1C" w:rsidRDefault="00E71D1C" w:rsidP="00E71D1C">
      <w:r w:rsidRPr="00E71D1C">
        <w:rPr>
          <w:b/>
          <w:bCs/>
        </w:rPr>
        <w:t>Naziv i adresa ponuditelja / zajednice gospodarskih subjekata</w:t>
      </w:r>
    </w:p>
    <w:p w14:paraId="717BE8AD" w14:textId="77777777" w:rsidR="00E71D1C" w:rsidRPr="00E71D1C" w:rsidRDefault="00E71D1C" w:rsidP="00E71D1C">
      <w:r w:rsidRPr="00E71D1C">
        <w:t>(kod zajednice gospodarskih subjekata obvezna je naznaka da se radi o zajednici i navođenje svih članova zajednice)</w:t>
      </w:r>
    </w:p>
    <w:p w14:paraId="399A31C1" w14:textId="77777777" w:rsidR="00E71D1C" w:rsidRPr="00E71D1C" w:rsidRDefault="00E71D1C" w:rsidP="00E71D1C">
      <w:r w:rsidRPr="00E71D1C">
        <w:pict w14:anchorId="1D021745">
          <v:rect id="_x0000_i1052" style="width:0;height:1.5pt" o:hralign="center" o:hrstd="t" o:hrnoshade="t" o:hr="t" fillcolor="black" stroked="f"/>
        </w:pict>
      </w:r>
    </w:p>
    <w:p w14:paraId="6B738B28" w14:textId="77777777" w:rsidR="00E71D1C" w:rsidRPr="00E71D1C" w:rsidRDefault="00E71D1C" w:rsidP="00E71D1C">
      <w:r w:rsidRPr="00E71D1C">
        <w:t>Ponuditelj sam snosi rizik eventualnog gubitka, odnosno nedostavljanja odvojenog dijela/dijelova ponude/ZZS-a u papirnatom obliku.</w:t>
      </w:r>
    </w:p>
    <w:p w14:paraId="4AAE79C3" w14:textId="77777777" w:rsidR="00E71D1C" w:rsidRPr="00E71D1C" w:rsidRDefault="00E71D1C" w:rsidP="00E71D1C">
      <w:r w:rsidRPr="00E71D1C">
        <w:t>U slučaju da naručitelj zaustavi postupak javne nabave povodom izjavljene žalbe na dokumentaciju ili poništi postupak javne nabave prije isteka roka za dostavu ponuda, za sve ponude koje su u međuvremenu dostavljene elektronički, EOJN RH će trajno onemogućiti pristup tim ponudama čime će se osigurati da nitko nema uvid u sadržaj dostavljenih ponuda. U slučaju da se postupak nastavi, ponuditelji će morati ponovno dostaviti svoje ponude.</w:t>
      </w:r>
    </w:p>
    <w:p w14:paraId="22820DFA" w14:textId="77777777" w:rsidR="00E71D1C" w:rsidRPr="00E71D1C" w:rsidRDefault="00E71D1C" w:rsidP="00E71D1C">
      <w:pPr>
        <w:rPr>
          <w:b/>
          <w:bCs/>
        </w:rPr>
      </w:pPr>
      <w:r w:rsidRPr="00E71D1C">
        <w:rPr>
          <w:b/>
          <w:bCs/>
        </w:rPr>
        <w:t>Tajnost dokumentacije gospodarskih subjekata</w:t>
      </w:r>
    </w:p>
    <w:p w14:paraId="725EE504" w14:textId="77777777" w:rsidR="00E71D1C" w:rsidRPr="00E71D1C" w:rsidRDefault="00E71D1C" w:rsidP="00E71D1C">
      <w:r w:rsidRPr="00E71D1C">
        <w:t>Gospodarski subjekt u postupku javne nabave smije na temelju zakona, drugog propisa ili općeg akta određene podatke označiti tajnom, uključujući tehničke ili trgovinske tajne te povjerljive značajke ponuda. Ako je gospodarski subjekt neke podatke označio tajnima, obvezan je navesti pravnu osnovu na temelju koje su ti podaci označeni tajnima. Gospodarski subjekt dužan je na zahtjev naručitelja dostaviti akt/akte koji/koje su naveli kao pravnu osnovu temeljem koje su podaci označeni tajnima, a sve radi provjere postojanja pravne osnove. 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3D84C94F" w14:textId="77777777" w:rsidR="00E71D1C" w:rsidRPr="00E71D1C" w:rsidRDefault="00E71D1C" w:rsidP="00E71D1C">
      <w:pPr>
        <w:rPr>
          <w:b/>
          <w:bCs/>
        </w:rPr>
      </w:pPr>
      <w:r w:rsidRPr="00E71D1C">
        <w:rPr>
          <w:b/>
          <w:bCs/>
        </w:rPr>
        <w:t>Izmjena ponude i odustajanje od ponude</w:t>
      </w:r>
    </w:p>
    <w:p w14:paraId="2A2BA31C" w14:textId="77777777" w:rsidR="00E71D1C" w:rsidRPr="00E71D1C" w:rsidRDefault="00E71D1C" w:rsidP="00E71D1C">
      <w:r w:rsidRPr="00E71D1C">
        <w:t>U roku za dostavu ponude ponuditelj može izmijeniti svoju ponudu ili od nje odustati. Ako ponuditelj tijekom roka za dostavu ponuda mijenja ponudu, smatra se da je ponuda dostavljena u trenutku dostave posljednje izmjene ponude. Nakon isteka roka za dostavu ponuda, ponuda se ne smije mijenjati.</w:t>
      </w:r>
    </w:p>
    <w:p w14:paraId="671D209E" w14:textId="77777777" w:rsidR="00E71D1C" w:rsidRPr="00E71D1C" w:rsidRDefault="00E71D1C" w:rsidP="00E71D1C">
      <w:pPr>
        <w:rPr>
          <w:b/>
          <w:bCs/>
        </w:rPr>
      </w:pPr>
      <w:r w:rsidRPr="00E71D1C">
        <w:rPr>
          <w:b/>
          <w:bCs/>
        </w:rPr>
        <w:t>Postupanje u postupcima javne nabave u slučaju nedostupnosti EOJN RH</w:t>
      </w:r>
    </w:p>
    <w:p w14:paraId="6379371F" w14:textId="77777777" w:rsidR="00E71D1C" w:rsidRPr="00E71D1C" w:rsidRDefault="00E71D1C" w:rsidP="00E71D1C">
      <w:r w:rsidRPr="00E71D1C">
        <w:t>Temeljem članka 239. ZJN 2016, ako tijekom razdoblja od četiri sata prije isteka roka za dostavu ponuda zbog tehničkih ili drugih razloga na strani EOJN RH isti nije dostupan, rok za dostavu ne teče dok traje nedostupnost, a naručitelj će produljiti rok za dostavu sukladno članku 240. ZJN 2016. Detaljne upute načina elektroničke dostave ponude dostupne su na stranicama EOJN RH, na adresi: </w:t>
      </w:r>
      <w:hyperlink r:id="rId27" w:history="1">
        <w:r w:rsidRPr="00E71D1C">
          <w:rPr>
            <w:rStyle w:val="Hiperveza"/>
          </w:rPr>
          <w:t>Upute</w:t>
        </w:r>
      </w:hyperlink>
    </w:p>
    <w:p w14:paraId="3C44856A" w14:textId="77777777" w:rsidR="00E71D1C" w:rsidRPr="00E71D1C" w:rsidRDefault="00E71D1C" w:rsidP="00E71D1C">
      <w:pPr>
        <w:rPr>
          <w:b/>
          <w:bCs/>
        </w:rPr>
      </w:pPr>
      <w:r w:rsidRPr="00E71D1C">
        <w:rPr>
          <w:b/>
          <w:bCs/>
        </w:rPr>
        <w:lastRenderedPageBreak/>
        <w:t>Odredbe o ponudi</w:t>
      </w:r>
    </w:p>
    <w:p w14:paraId="2BBF1597" w14:textId="77777777" w:rsidR="00E71D1C" w:rsidRPr="00E71D1C" w:rsidRDefault="00E71D1C" w:rsidP="00E71D1C">
      <w:pPr>
        <w:rPr>
          <w:b/>
          <w:bCs/>
        </w:rPr>
      </w:pPr>
      <w:r w:rsidRPr="00E71D1C">
        <w:rPr>
          <w:b/>
          <w:bCs/>
        </w:rPr>
        <w:t>Varijante ponude</w:t>
      </w:r>
    </w:p>
    <w:p w14:paraId="5CAC12C7" w14:textId="77777777" w:rsidR="00E71D1C" w:rsidRPr="00E71D1C" w:rsidRDefault="00E71D1C" w:rsidP="00E71D1C">
      <w:r w:rsidRPr="00E71D1C">
        <w:t>Varijante ponude nisu dopuštene.</w:t>
      </w:r>
    </w:p>
    <w:p w14:paraId="50593CBA" w14:textId="77777777" w:rsidR="00E71D1C" w:rsidRPr="00E71D1C" w:rsidRDefault="00E71D1C" w:rsidP="00E71D1C">
      <w:pPr>
        <w:rPr>
          <w:b/>
          <w:bCs/>
        </w:rPr>
      </w:pPr>
      <w:r w:rsidRPr="00E71D1C">
        <w:rPr>
          <w:b/>
          <w:bCs/>
        </w:rPr>
        <w:t>Način određivanja cijene ponude</w:t>
      </w:r>
    </w:p>
    <w:p w14:paraId="0A7B7CA5" w14:textId="77777777" w:rsidR="00E71D1C" w:rsidRPr="00E71D1C" w:rsidRDefault="00E71D1C" w:rsidP="00E71D1C">
      <w:r w:rsidRPr="00E71D1C">
        <w:t>Cijena ponude piše se brojkama u apsolutnom iznosu. Ponuditelji su dužni ponuditi, tj. upisati jediničnu cijenu i ukupnu cijenu za svaku stavku troškovnika, na način kako je to određeno u troškovniku te cijenu ponude bez PDV-a i cijenu ponude s PDV-om, a iznos PDV-a se izračunava zasebno. Cijenu ponude čini zbroj svih stavki bez poreza na dodanu vrijednost u kojoj moraju biti uračunati svi troškovi, popusti, opći rizici, obveze i odgovornosti koje su određene ovom Dokumentacijom o nabavi.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E698DF3" w14:textId="77777777" w:rsidR="00E71D1C" w:rsidRPr="00E71D1C" w:rsidRDefault="00E71D1C" w:rsidP="00E71D1C">
      <w:r w:rsidRPr="00E71D1C">
        <w:t>Jedinična cijena definirana je kao nepromjenjiva tijekom trajanja ugovora o javnoj nabavi.</w:t>
      </w:r>
    </w:p>
    <w:p w14:paraId="72776C1B" w14:textId="77777777" w:rsidR="00E71D1C" w:rsidRPr="00E71D1C" w:rsidRDefault="00E71D1C" w:rsidP="00E71D1C">
      <w:pPr>
        <w:rPr>
          <w:b/>
          <w:bCs/>
        </w:rPr>
      </w:pPr>
      <w:r w:rsidRPr="00E71D1C">
        <w:rPr>
          <w:b/>
          <w:bCs/>
        </w:rPr>
        <w:t>Valuta ponude</w:t>
      </w:r>
    </w:p>
    <w:p w14:paraId="6A7B36ED" w14:textId="77777777" w:rsidR="00E71D1C" w:rsidRPr="00E71D1C" w:rsidRDefault="00E71D1C" w:rsidP="00E71D1C">
      <w:r w:rsidRPr="00E71D1C">
        <w:t>Ponuditelj iskazuje cijenu ponude u eurima (EUR).</w:t>
      </w:r>
    </w:p>
    <w:p w14:paraId="13F70A53" w14:textId="77777777" w:rsidR="00E71D1C" w:rsidRPr="00E71D1C" w:rsidRDefault="00E71D1C" w:rsidP="00E71D1C">
      <w:pPr>
        <w:rPr>
          <w:b/>
          <w:bCs/>
        </w:rPr>
      </w:pPr>
      <w:r w:rsidRPr="00E71D1C">
        <w:rPr>
          <w:b/>
          <w:bCs/>
        </w:rPr>
        <w:t>Kriterij za odabir ponude</w:t>
      </w:r>
    </w:p>
    <w:p w14:paraId="0753DF08" w14:textId="77777777" w:rsidR="00E71D1C" w:rsidRPr="00E71D1C" w:rsidRDefault="00E71D1C" w:rsidP="00E71D1C">
      <w:r w:rsidRPr="00E71D1C">
        <w:t>Kriterij za odabir ponude je ekonomski najpovoljnija ponuda (ENP).</w:t>
      </w:r>
    </w:p>
    <w:p w14:paraId="379FF752" w14:textId="77777777" w:rsidR="00E71D1C" w:rsidRPr="00E71D1C" w:rsidRDefault="00E71D1C" w:rsidP="00E71D1C">
      <w:r w:rsidRPr="00E71D1C">
        <w:rPr>
          <w:b/>
          <w:bCs/>
        </w:rPr>
        <w:t>S obzirom na to da može koristiti pravo na pretporez, naručitelj će uspoređivati cijene ponuda bez PDV-a.</w:t>
      </w:r>
    </w:p>
    <w:p w14:paraId="0EDFCE39" w14:textId="77777777" w:rsidR="00E71D1C" w:rsidRPr="00E71D1C" w:rsidRDefault="00E71D1C" w:rsidP="00E71D1C">
      <w:r w:rsidRPr="00E71D1C">
        <w:t>Ako dvije ili više valjanih ponuda budu jednako rangirane prema kriteriju za odabir ponude, naručitelj će odabrati ponudu koja je zaprimljena ranije.</w:t>
      </w:r>
    </w:p>
    <w:p w14:paraId="3AF7147C" w14:textId="77777777" w:rsidR="00E71D1C" w:rsidRPr="00E71D1C" w:rsidRDefault="00E71D1C" w:rsidP="00E71D1C">
      <w:r w:rsidRPr="00E71D1C">
        <w:t>Ekonomski najpovoljnija ponuda utvrđuje se na temelju: </w:t>
      </w:r>
      <w:r w:rsidRPr="00E71D1C">
        <w:rPr>
          <w:b/>
          <w:bCs/>
        </w:rPr>
        <w:t>Cijene i kvalitete</w:t>
      </w:r>
    </w:p>
    <w:p w14:paraId="33D9A03B" w14:textId="77777777" w:rsidR="00E71D1C" w:rsidRPr="00E71D1C" w:rsidRDefault="00E71D1C" w:rsidP="00E71D1C">
      <w:r w:rsidRPr="00E71D1C">
        <w:rPr>
          <w:b/>
          <w:bCs/>
        </w:rPr>
        <w:t>Formula za određivanje ekonomski najpovoljnije ponude opisana je u zasebnom dokumentu koju je naručitelj priložio ovoj dokumentaciji.</w:t>
      </w:r>
    </w:p>
    <w:p w14:paraId="3EE4C057" w14:textId="77777777" w:rsidR="00E71D1C" w:rsidRPr="00E71D1C" w:rsidRDefault="00E71D1C" w:rsidP="00E71D1C">
      <w:r w:rsidRPr="00E71D1C">
        <w:rPr>
          <w:b/>
          <w:bCs/>
        </w:rPr>
        <w:t>Cijena:</w:t>
      </w:r>
    </w:p>
    <w:tbl>
      <w:tblPr>
        <w:tblW w:w="16950" w:type="dxa"/>
        <w:shd w:val="clear" w:color="auto" w:fill="FFFFFF"/>
        <w:tblCellMar>
          <w:top w:w="15" w:type="dxa"/>
          <w:left w:w="15" w:type="dxa"/>
          <w:bottom w:w="15" w:type="dxa"/>
          <w:right w:w="15" w:type="dxa"/>
        </w:tblCellMar>
        <w:tblLook w:val="04A0" w:firstRow="1" w:lastRow="0" w:firstColumn="1" w:lastColumn="0" w:noHBand="0" w:noVBand="1"/>
      </w:tblPr>
      <w:tblGrid>
        <w:gridCol w:w="10715"/>
        <w:gridCol w:w="6235"/>
      </w:tblGrid>
      <w:tr w:rsidR="00E71D1C" w:rsidRPr="00E71D1C" w14:paraId="2F773425" w14:textId="77777777">
        <w:trPr>
          <w:tblHeader/>
        </w:trPr>
        <w:tc>
          <w:tcPr>
            <w:tcW w:w="0" w:type="auto"/>
            <w:tcBorders>
              <w:top w:val="single" w:sz="6" w:space="0" w:color="DEE2E6"/>
              <w:left w:val="single" w:sz="12" w:space="0" w:color="DEE2E6"/>
              <w:bottom w:val="single" w:sz="12" w:space="0" w:color="DEE2E6"/>
              <w:right w:val="single" w:sz="12" w:space="0" w:color="DEE2E6"/>
            </w:tcBorders>
            <w:shd w:val="clear" w:color="auto" w:fill="E9ECEF"/>
            <w:tcMar>
              <w:top w:w="180" w:type="dxa"/>
              <w:left w:w="180" w:type="dxa"/>
              <w:bottom w:w="180" w:type="dxa"/>
              <w:right w:w="180" w:type="dxa"/>
            </w:tcMar>
            <w:vAlign w:val="bottom"/>
            <w:hideMark/>
          </w:tcPr>
          <w:p w14:paraId="68B39954" w14:textId="77777777" w:rsidR="00E71D1C" w:rsidRPr="00E71D1C" w:rsidRDefault="00E71D1C" w:rsidP="00E71D1C">
            <w:pPr>
              <w:rPr>
                <w:b/>
                <w:bCs/>
              </w:rPr>
            </w:pPr>
            <w:r w:rsidRPr="00E71D1C">
              <w:rPr>
                <w:b/>
                <w:bCs/>
              </w:rPr>
              <w:t>Naziv kriterija</w:t>
            </w:r>
          </w:p>
        </w:tc>
        <w:tc>
          <w:tcPr>
            <w:tcW w:w="0" w:type="auto"/>
            <w:tcBorders>
              <w:top w:val="single" w:sz="6" w:space="0" w:color="DEE2E6"/>
              <w:left w:val="nil"/>
              <w:bottom w:val="single" w:sz="12" w:space="0" w:color="DEE2E6"/>
              <w:right w:val="single" w:sz="12" w:space="0" w:color="DEE2E6"/>
            </w:tcBorders>
            <w:shd w:val="clear" w:color="auto" w:fill="E9ECEF"/>
            <w:tcMar>
              <w:top w:w="180" w:type="dxa"/>
              <w:left w:w="180" w:type="dxa"/>
              <w:bottom w:w="180" w:type="dxa"/>
              <w:right w:w="180" w:type="dxa"/>
            </w:tcMar>
            <w:vAlign w:val="bottom"/>
            <w:hideMark/>
          </w:tcPr>
          <w:p w14:paraId="4D0E0F8B" w14:textId="77777777" w:rsidR="00E71D1C" w:rsidRPr="00E71D1C" w:rsidRDefault="00E71D1C" w:rsidP="00E71D1C">
            <w:pPr>
              <w:rPr>
                <w:b/>
                <w:bCs/>
              </w:rPr>
            </w:pPr>
            <w:r w:rsidRPr="00E71D1C">
              <w:rPr>
                <w:b/>
                <w:bCs/>
              </w:rPr>
              <w:t>Značaj</w:t>
            </w:r>
          </w:p>
        </w:tc>
      </w:tr>
      <w:tr w:rsidR="00E71D1C" w:rsidRPr="00E71D1C" w14:paraId="1340B52D" w14:textId="77777777">
        <w:tc>
          <w:tcPr>
            <w:tcW w:w="0" w:type="auto"/>
            <w:tcBorders>
              <w:top w:val="single" w:sz="6" w:space="0" w:color="DEE2E6"/>
            </w:tcBorders>
            <w:shd w:val="clear" w:color="auto" w:fill="FFFFFF"/>
            <w:tcMar>
              <w:top w:w="180" w:type="dxa"/>
              <w:left w:w="180" w:type="dxa"/>
              <w:bottom w:w="180" w:type="dxa"/>
              <w:right w:w="180" w:type="dxa"/>
            </w:tcMar>
            <w:hideMark/>
          </w:tcPr>
          <w:p w14:paraId="0B183175" w14:textId="77777777" w:rsidR="00E71D1C" w:rsidRPr="00E71D1C" w:rsidRDefault="00E71D1C" w:rsidP="00E71D1C">
            <w:r w:rsidRPr="00E71D1C">
              <w:t>Cijena</w:t>
            </w:r>
          </w:p>
        </w:tc>
        <w:tc>
          <w:tcPr>
            <w:tcW w:w="0" w:type="auto"/>
            <w:tcBorders>
              <w:top w:val="single" w:sz="6" w:space="0" w:color="DEE2E6"/>
            </w:tcBorders>
            <w:shd w:val="clear" w:color="auto" w:fill="FFFFFF"/>
            <w:tcMar>
              <w:top w:w="180" w:type="dxa"/>
              <w:left w:w="180" w:type="dxa"/>
              <w:bottom w:w="180" w:type="dxa"/>
              <w:right w:w="180" w:type="dxa"/>
            </w:tcMar>
            <w:hideMark/>
          </w:tcPr>
          <w:p w14:paraId="3A2E09F4" w14:textId="77777777" w:rsidR="00E71D1C" w:rsidRPr="00E71D1C" w:rsidRDefault="00E71D1C" w:rsidP="00E71D1C">
            <w:r w:rsidRPr="00E71D1C">
              <w:t>0,9</w:t>
            </w:r>
          </w:p>
        </w:tc>
      </w:tr>
    </w:tbl>
    <w:p w14:paraId="34734987" w14:textId="77777777" w:rsidR="00E71D1C" w:rsidRPr="00E71D1C" w:rsidRDefault="00E71D1C" w:rsidP="00E71D1C">
      <w:r w:rsidRPr="00E71D1C">
        <w:rPr>
          <w:b/>
          <w:bCs/>
        </w:rPr>
        <w:t>Kvaliteta:</w:t>
      </w:r>
    </w:p>
    <w:tbl>
      <w:tblPr>
        <w:tblW w:w="16950" w:type="dxa"/>
        <w:shd w:val="clear" w:color="auto" w:fill="FFFFFF"/>
        <w:tblCellMar>
          <w:top w:w="15" w:type="dxa"/>
          <w:left w:w="15" w:type="dxa"/>
          <w:bottom w:w="15" w:type="dxa"/>
          <w:right w:w="15" w:type="dxa"/>
        </w:tblCellMar>
        <w:tblLook w:val="04A0" w:firstRow="1" w:lastRow="0" w:firstColumn="1" w:lastColumn="0" w:noHBand="0" w:noVBand="1"/>
      </w:tblPr>
      <w:tblGrid>
        <w:gridCol w:w="13569"/>
        <w:gridCol w:w="3381"/>
      </w:tblGrid>
      <w:tr w:rsidR="00E71D1C" w:rsidRPr="00E71D1C" w14:paraId="0B5DFF2A" w14:textId="77777777">
        <w:trPr>
          <w:tblHeader/>
        </w:trPr>
        <w:tc>
          <w:tcPr>
            <w:tcW w:w="0" w:type="auto"/>
            <w:tcBorders>
              <w:top w:val="single" w:sz="6" w:space="0" w:color="DEE2E6"/>
              <w:left w:val="single" w:sz="12" w:space="0" w:color="DEE2E6"/>
              <w:bottom w:val="single" w:sz="12" w:space="0" w:color="DEE2E6"/>
              <w:right w:val="single" w:sz="12" w:space="0" w:color="DEE2E6"/>
            </w:tcBorders>
            <w:shd w:val="clear" w:color="auto" w:fill="E9ECEF"/>
            <w:tcMar>
              <w:top w:w="180" w:type="dxa"/>
              <w:left w:w="180" w:type="dxa"/>
              <w:bottom w:w="180" w:type="dxa"/>
              <w:right w:w="180" w:type="dxa"/>
            </w:tcMar>
            <w:vAlign w:val="bottom"/>
            <w:hideMark/>
          </w:tcPr>
          <w:p w14:paraId="45D89323" w14:textId="77777777" w:rsidR="00E71D1C" w:rsidRPr="00E71D1C" w:rsidRDefault="00E71D1C" w:rsidP="00E71D1C">
            <w:pPr>
              <w:rPr>
                <w:b/>
                <w:bCs/>
              </w:rPr>
            </w:pPr>
            <w:r w:rsidRPr="00E71D1C">
              <w:rPr>
                <w:b/>
                <w:bCs/>
              </w:rPr>
              <w:t>Naziv kriterija</w:t>
            </w:r>
          </w:p>
        </w:tc>
        <w:tc>
          <w:tcPr>
            <w:tcW w:w="0" w:type="auto"/>
            <w:tcBorders>
              <w:top w:val="single" w:sz="6" w:space="0" w:color="DEE2E6"/>
              <w:left w:val="nil"/>
              <w:bottom w:val="single" w:sz="12" w:space="0" w:color="DEE2E6"/>
              <w:right w:val="single" w:sz="12" w:space="0" w:color="DEE2E6"/>
            </w:tcBorders>
            <w:shd w:val="clear" w:color="auto" w:fill="E9ECEF"/>
            <w:tcMar>
              <w:top w:w="180" w:type="dxa"/>
              <w:left w:w="180" w:type="dxa"/>
              <w:bottom w:w="180" w:type="dxa"/>
              <w:right w:w="180" w:type="dxa"/>
            </w:tcMar>
            <w:vAlign w:val="bottom"/>
            <w:hideMark/>
          </w:tcPr>
          <w:p w14:paraId="2091906A" w14:textId="77777777" w:rsidR="00E71D1C" w:rsidRPr="00E71D1C" w:rsidRDefault="00E71D1C" w:rsidP="00E71D1C">
            <w:pPr>
              <w:rPr>
                <w:b/>
                <w:bCs/>
              </w:rPr>
            </w:pPr>
            <w:r w:rsidRPr="00E71D1C">
              <w:rPr>
                <w:b/>
                <w:bCs/>
              </w:rPr>
              <w:t>Značaj</w:t>
            </w:r>
          </w:p>
        </w:tc>
      </w:tr>
      <w:tr w:rsidR="00E71D1C" w:rsidRPr="00E71D1C" w14:paraId="1D8CDDA7" w14:textId="77777777">
        <w:tc>
          <w:tcPr>
            <w:tcW w:w="0" w:type="auto"/>
            <w:tcBorders>
              <w:top w:val="single" w:sz="6" w:space="0" w:color="DEE2E6"/>
            </w:tcBorders>
            <w:shd w:val="clear" w:color="auto" w:fill="FFFFFF"/>
            <w:tcMar>
              <w:top w:w="180" w:type="dxa"/>
              <w:left w:w="180" w:type="dxa"/>
              <w:bottom w:w="180" w:type="dxa"/>
              <w:right w:w="180" w:type="dxa"/>
            </w:tcMar>
            <w:hideMark/>
          </w:tcPr>
          <w:p w14:paraId="30129AC4" w14:textId="77777777" w:rsidR="00E71D1C" w:rsidRPr="00E71D1C" w:rsidRDefault="00E71D1C" w:rsidP="00E71D1C">
            <w:r w:rsidRPr="00E71D1C">
              <w:t>Električna energija iz obnovljivih izvora</w:t>
            </w:r>
          </w:p>
        </w:tc>
        <w:tc>
          <w:tcPr>
            <w:tcW w:w="0" w:type="auto"/>
            <w:tcBorders>
              <w:top w:val="single" w:sz="6" w:space="0" w:color="DEE2E6"/>
            </w:tcBorders>
            <w:shd w:val="clear" w:color="auto" w:fill="FFFFFF"/>
            <w:tcMar>
              <w:top w:w="180" w:type="dxa"/>
              <w:left w:w="180" w:type="dxa"/>
              <w:bottom w:w="180" w:type="dxa"/>
              <w:right w:w="180" w:type="dxa"/>
            </w:tcMar>
            <w:hideMark/>
          </w:tcPr>
          <w:p w14:paraId="54C826FF" w14:textId="77777777" w:rsidR="00E71D1C" w:rsidRPr="00E71D1C" w:rsidRDefault="00E71D1C" w:rsidP="00E71D1C">
            <w:r w:rsidRPr="00E71D1C">
              <w:t>0,1</w:t>
            </w:r>
          </w:p>
        </w:tc>
      </w:tr>
    </w:tbl>
    <w:p w14:paraId="4020216A" w14:textId="77777777" w:rsidR="00E71D1C" w:rsidRPr="00E71D1C" w:rsidRDefault="00E71D1C" w:rsidP="00E71D1C">
      <w:r w:rsidRPr="00E71D1C">
        <w:rPr>
          <w:b/>
          <w:bCs/>
        </w:rPr>
        <w:lastRenderedPageBreak/>
        <w:t>Kriterij:</w:t>
      </w:r>
      <w:r w:rsidRPr="00E71D1C">
        <w:t> </w:t>
      </w:r>
      <w:r w:rsidRPr="00E71D1C">
        <w:rPr>
          <w:b/>
          <w:bCs/>
        </w:rPr>
        <w:t>Električna energija iz obnovljivih izvora</w:t>
      </w:r>
    </w:p>
    <w:p w14:paraId="2BAEBFDE" w14:textId="77777777" w:rsidR="00E71D1C" w:rsidRPr="00E71D1C" w:rsidRDefault="00E71D1C" w:rsidP="00E71D1C">
      <w:r w:rsidRPr="00E71D1C">
        <w:rPr>
          <w:b/>
          <w:bCs/>
        </w:rPr>
        <w:t>Detaljni opis</w:t>
      </w:r>
    </w:p>
    <w:p w14:paraId="6A0371C0" w14:textId="77777777" w:rsidR="00E71D1C" w:rsidRPr="00E71D1C" w:rsidRDefault="00E71D1C" w:rsidP="00E71D1C">
      <w:r w:rsidRPr="00E71D1C">
        <w:t>Ponuditelj je dužan priložiti izjavu u kojoj navodi postotak električne energije iz obnovljivih izvora. Predložak izjave nalazi se u prilogu Dokumentacije</w:t>
      </w:r>
    </w:p>
    <w:p w14:paraId="212FC53E" w14:textId="77777777" w:rsidR="00E71D1C" w:rsidRPr="00E71D1C" w:rsidRDefault="00E71D1C" w:rsidP="00E71D1C">
      <w:r w:rsidRPr="00E71D1C">
        <w:rPr>
          <w:b/>
          <w:bCs/>
        </w:rPr>
        <w:t>Gospodarski subjekt će vrijednost kriterija izraziti numerički</w:t>
      </w:r>
    </w:p>
    <w:p w14:paraId="40AEA3FB" w14:textId="77777777" w:rsidR="00E71D1C" w:rsidRPr="00E71D1C" w:rsidRDefault="00E71D1C" w:rsidP="00E71D1C">
      <w:r w:rsidRPr="00E71D1C">
        <w:t>Jedinica mjere: </w:t>
      </w:r>
      <w:r w:rsidRPr="00E71D1C">
        <w:rPr>
          <w:b/>
          <w:bCs/>
        </w:rPr>
        <w:t>Postotak</w:t>
      </w:r>
    </w:p>
    <w:p w14:paraId="06D5A077" w14:textId="77777777" w:rsidR="00E71D1C" w:rsidRPr="00E71D1C" w:rsidRDefault="00E71D1C" w:rsidP="00E71D1C">
      <w:r w:rsidRPr="00E71D1C">
        <w:t>Ponuđena vrijednost se mora izraziti kao: </w:t>
      </w:r>
      <w:r w:rsidRPr="00E71D1C">
        <w:rPr>
          <w:b/>
          <w:bCs/>
        </w:rPr>
        <w:t>Cijeli broj</w:t>
      </w:r>
    </w:p>
    <w:p w14:paraId="4C79A542" w14:textId="77777777" w:rsidR="00E71D1C" w:rsidRPr="00E71D1C" w:rsidRDefault="00E71D1C" w:rsidP="00E71D1C">
      <w:pPr>
        <w:rPr>
          <w:b/>
          <w:bCs/>
        </w:rPr>
      </w:pPr>
      <w:r w:rsidRPr="00E71D1C">
        <w:rPr>
          <w:b/>
          <w:bCs/>
        </w:rPr>
        <w:t>Jezik i pismo na kojem se izrađuje ponuda ili njezin dio</w:t>
      </w:r>
    </w:p>
    <w:p w14:paraId="71C5BF5F" w14:textId="77777777" w:rsidR="00E71D1C" w:rsidRPr="00E71D1C" w:rsidRDefault="00E71D1C" w:rsidP="00E71D1C">
      <w:r w:rsidRPr="00E71D1C">
        <w:t xml:space="preserve">Ponuda se zajedno s pripadajućom dokumentacijom izrađuje na hrvatskom jeziku i latiničnom pismu (iznimno je moguće navesti pojmove na stranom jeziku te koristiti međunarodno priznat izričaj, odnosno tzv. internacionalizme, tuđe riječi i </w:t>
      </w:r>
      <w:proofErr w:type="spellStart"/>
      <w:r w:rsidRPr="00E71D1C">
        <w:t>prilagođenice</w:t>
      </w:r>
      <w:proofErr w:type="spellEnd"/>
      <w:r w:rsidRPr="00E71D1C">
        <w:t>). Također iznimno, dio popratne dokumentacije može biti i na nekom drugom jeziku, ako je tako dozvoljeno u drugim odredbama ove dokumentacije.</w:t>
      </w:r>
    </w:p>
    <w:p w14:paraId="4A4B9D04" w14:textId="77777777" w:rsidR="00E71D1C" w:rsidRPr="00E71D1C" w:rsidRDefault="00E71D1C" w:rsidP="00E71D1C">
      <w:r w:rsidRPr="00E71D1C">
        <w:t>U slučajevima u kojima dostavljeni prijevod (koji ne mora biti ovjeren od ovlaštenog sudskog tumača) ostavlja dvojbe i nejasnoće koje onemogućavaju naručitelja da donese nedvojbenu odluku o nekoj odlučnoj činjenici, naručitelj će zatražiti od ponuditelja dostavu ovjerenog prijevoda od strane ovlaštenog sudskog tumača za jezik s kojeg je prijevod izvršen.</w:t>
      </w:r>
      <w:r w:rsidRPr="00E71D1C">
        <w:br/>
        <w:t>U slučaju dostave dijelova ponude koji nisu na hrvatskom jeziku, ponuditelj ih je obvezan dostaviti s prijevodom ovlaštenog sudskog tumača na hrvatski jezik.</w:t>
      </w:r>
      <w:r w:rsidRPr="00E71D1C">
        <w:br/>
        <w:t xml:space="preserve">Naručitelj je cjelokupnu dokumentaciju o nabavi izradio na hrvatskom jeziku i latiničnom pismu. Dokumentacijom o nabavi mogu biti korišteni neki stručni izrazi na engleskom jeziku, za koje Naručitelj nije naveo prijevod na hrvatski jezik jer navedeni izrazi imaju međunarodnu i višejezičnu primjenu te za iste nema adekvatan prijevod na hrvatski jezik. Ponuda se zajedno s pripadajućom dokumentacijom izrađuje na hrvatskom jeziku i latiničnom pismu, a moguće je navesti pojmove, projekte i sl. na stranom jeziku te koristiti internacionalizme, tuđe riječi i </w:t>
      </w:r>
      <w:proofErr w:type="spellStart"/>
      <w:r w:rsidRPr="00E71D1C">
        <w:t>prilagođenice</w:t>
      </w:r>
      <w:proofErr w:type="spellEnd"/>
      <w:r w:rsidRPr="00E71D1C">
        <w:t>, u kojem slučaju se ne mora prilagati prijevod na hrvatski jezik. Također iznimno, dio popratne dokumentacije može biti i na nekom drugom jeziku, ali se u tom slučaju obavezno prilaže i prijevod na hrvatski jezik. U cijelom tekstu ove Dokumentacije o nabavi riječi i pojmovni sklopovi koji imaju rodno značenje, odnose se jednako na muški i na ženski rod bez obzira jesu li korišteni u muškom ili ženskom rodu.</w:t>
      </w:r>
    </w:p>
    <w:p w14:paraId="51D385E2" w14:textId="77777777" w:rsidR="00E71D1C" w:rsidRPr="00E71D1C" w:rsidRDefault="00E71D1C" w:rsidP="00E71D1C">
      <w:pPr>
        <w:rPr>
          <w:b/>
          <w:bCs/>
        </w:rPr>
      </w:pPr>
      <w:r w:rsidRPr="00E71D1C">
        <w:rPr>
          <w:b/>
          <w:bCs/>
        </w:rPr>
        <w:t>Rok valjanosti ponude</w:t>
      </w:r>
    </w:p>
    <w:p w14:paraId="3AC40A5D" w14:textId="77777777" w:rsidR="00E71D1C" w:rsidRPr="00E71D1C" w:rsidRDefault="00E71D1C" w:rsidP="00E71D1C">
      <w:r w:rsidRPr="00E71D1C">
        <w:t>Rok valjanosti ponude je 45 dana od dana isteka roka za dostavu ponuda.</w:t>
      </w:r>
    </w:p>
    <w:p w14:paraId="0DCE74C5" w14:textId="77777777" w:rsidR="00E71D1C" w:rsidRPr="00E71D1C" w:rsidRDefault="00E71D1C" w:rsidP="00E71D1C">
      <w:r w:rsidRPr="00E71D1C">
        <w:t>Ukoliko tijekom postupka javne nabave istekne rok valjanosti ponude i jamstva za ozbiljnost ponude (ukoliko je traženo DON-om), naručitelj će prije odabira zatražiti produženje roka valjanosti ponude i jamstva od ponuditelja koji je podnio ekonomski najpovoljniju ponudu. U tu svrhu ponuditelju će se dati primjereni rok, ne kraći od pet (5) dana.</w:t>
      </w:r>
    </w:p>
    <w:p w14:paraId="44625B05" w14:textId="77777777" w:rsidR="00E71D1C" w:rsidRPr="00E71D1C" w:rsidRDefault="00E71D1C" w:rsidP="00E71D1C">
      <w:r w:rsidRPr="00E71D1C">
        <w:t>Ponuditelj upisuje rok valjanosti ponude na za to predviđeno mjesto pri upisu podataka u obrazac EOJN RH.</w:t>
      </w:r>
    </w:p>
    <w:p w14:paraId="0C4AA42A" w14:textId="77777777" w:rsidR="00E71D1C" w:rsidRPr="00E71D1C" w:rsidRDefault="00E71D1C" w:rsidP="00E71D1C">
      <w:r w:rsidRPr="00E71D1C">
        <w:t>U slučaju da ponuditelj produži rok valjanosti ponude, obvezan je produžiti i valjanost jamstva za ozbiljnost ponude.</w:t>
      </w:r>
    </w:p>
    <w:p w14:paraId="26888E77" w14:textId="77777777" w:rsidR="00E71D1C" w:rsidRPr="00E71D1C" w:rsidRDefault="00E71D1C" w:rsidP="00E71D1C">
      <w:pPr>
        <w:rPr>
          <w:b/>
          <w:bCs/>
        </w:rPr>
      </w:pPr>
      <w:r w:rsidRPr="00E71D1C">
        <w:rPr>
          <w:b/>
          <w:bCs/>
        </w:rPr>
        <w:t>Ostale odredbe</w:t>
      </w:r>
    </w:p>
    <w:p w14:paraId="5FCE2F57" w14:textId="77777777" w:rsidR="00E71D1C" w:rsidRPr="00E71D1C" w:rsidRDefault="00E71D1C" w:rsidP="00E71D1C">
      <w:pPr>
        <w:rPr>
          <w:b/>
          <w:bCs/>
        </w:rPr>
      </w:pPr>
      <w:r w:rsidRPr="00E71D1C">
        <w:rPr>
          <w:b/>
          <w:bCs/>
        </w:rPr>
        <w:lastRenderedPageBreak/>
        <w:t>Vrsta, sredstvo i uvjeti jamstva</w:t>
      </w:r>
    </w:p>
    <w:p w14:paraId="03FAFAB8" w14:textId="77777777" w:rsidR="00E71D1C" w:rsidRPr="00E71D1C" w:rsidRDefault="00E71D1C" w:rsidP="00E71D1C">
      <w:pPr>
        <w:rPr>
          <w:b/>
          <w:bCs/>
        </w:rPr>
      </w:pPr>
      <w:r w:rsidRPr="00E71D1C">
        <w:rPr>
          <w:b/>
          <w:bCs/>
        </w:rPr>
        <w:t>Jamstvo za ozbiljnost ponude</w:t>
      </w:r>
    </w:p>
    <w:p w14:paraId="4E711DB7" w14:textId="77777777" w:rsidR="00E71D1C" w:rsidRPr="00E71D1C" w:rsidRDefault="00E71D1C" w:rsidP="00E71D1C">
      <w:r w:rsidRPr="00E71D1C">
        <w:t>Ponuditelj je obvezan u ponudi dostaviti jamstvo za ozbiljnost ponude u obliku zadužnice ili u obliku bjanko zadužnice ovjerene kod javnog bilježnika u visini od 2.400,00 eura (</w:t>
      </w:r>
      <w:proofErr w:type="spellStart"/>
      <w:r w:rsidRPr="00E71D1C">
        <w:t>dvijetisućečetristo</w:t>
      </w:r>
      <w:proofErr w:type="spellEnd"/>
      <w:r w:rsidRPr="00E71D1C">
        <w:t xml:space="preserve"> eura).</w:t>
      </w:r>
      <w:r w:rsidRPr="00E71D1C">
        <w:br/>
        <w:t>Zadužnicu će ponuditelji dostaviti popunjenu sukladno Pravilniku o obliku i sadržaju zadužnice (NN 115/12, 82/17 i 154/22) ili Pravilnika o obliku i sadržaju bjanko zadužnice (NN 115/12, 82/17 i 154/22).</w:t>
      </w:r>
      <w:r w:rsidRPr="00E71D1C">
        <w:br/>
        <w:t>Ukoliko ponuditelj dostavlja jamstvo za ozbiljnost ponude u obliku zadužnice ista mora biti izdana na iznos od 2.400,00 eura.</w:t>
      </w:r>
      <w:r w:rsidRPr="00E71D1C">
        <w:br/>
        <w:t>Ukoliko ponuditelj dostavlja jamstvo za ozbiljnost ponude u obliku bjanko zadužnice isti je dužan dostaviti bjanko zadužnice u odgovarajućem broju primjeraka čiji ukupni iznos glasi na iznos 2.400,00 eura.</w:t>
      </w:r>
    </w:p>
    <w:p w14:paraId="648DCA26" w14:textId="77777777" w:rsidR="00E71D1C" w:rsidRPr="00E71D1C" w:rsidRDefault="00E71D1C" w:rsidP="00E71D1C">
      <w:r w:rsidRPr="00E71D1C">
        <w:t>Iznos jamstva (EUR): </w:t>
      </w:r>
      <w:r w:rsidRPr="00E71D1C">
        <w:rPr>
          <w:b/>
          <w:bCs/>
        </w:rPr>
        <w:t>2.400,00</w:t>
      </w:r>
    </w:p>
    <w:p w14:paraId="2E90F763" w14:textId="77777777" w:rsidR="00E71D1C" w:rsidRPr="00E71D1C" w:rsidRDefault="00E71D1C" w:rsidP="00E71D1C">
      <w:r w:rsidRPr="00E71D1C">
        <w:rPr>
          <w:b/>
          <w:bCs/>
        </w:rPr>
        <w:t>Novčani polog</w:t>
      </w:r>
    </w:p>
    <w:p w14:paraId="0A6F53CE" w14:textId="77777777" w:rsidR="00E71D1C" w:rsidRPr="00E71D1C" w:rsidRDefault="00E71D1C" w:rsidP="00E71D1C">
      <w:r w:rsidRPr="00E71D1C">
        <w:t>Gospodarski subjekt može umjesto traženog sredstva jamstva dati novčani polog u traženom iznosu.</w:t>
      </w:r>
    </w:p>
    <w:p w14:paraId="6BEEBA35" w14:textId="77777777" w:rsidR="00E71D1C" w:rsidRPr="00E71D1C" w:rsidRDefault="00E71D1C" w:rsidP="00E71D1C">
      <w:r w:rsidRPr="00E71D1C">
        <w:rPr>
          <w:b/>
          <w:bCs/>
        </w:rPr>
        <w:t>Podaci za uplatu novčanog pologa</w:t>
      </w:r>
    </w:p>
    <w:p w14:paraId="406A822F" w14:textId="77777777" w:rsidR="00E71D1C" w:rsidRPr="00E71D1C" w:rsidRDefault="00E71D1C" w:rsidP="00E71D1C">
      <w:r w:rsidRPr="00E71D1C">
        <w:t>Naziv primatelja: </w:t>
      </w:r>
      <w:r w:rsidRPr="00E71D1C">
        <w:rPr>
          <w:b/>
          <w:bCs/>
        </w:rPr>
        <w:t>Dom za starije osobe Dubrovnik</w:t>
      </w:r>
    </w:p>
    <w:p w14:paraId="51111386" w14:textId="77777777" w:rsidR="00E71D1C" w:rsidRPr="00E71D1C" w:rsidRDefault="00E71D1C" w:rsidP="00E71D1C">
      <w:r w:rsidRPr="00E71D1C">
        <w:t>IBAN primatelja: </w:t>
      </w:r>
      <w:r w:rsidRPr="00E71D1C">
        <w:rPr>
          <w:b/>
          <w:bCs/>
        </w:rPr>
        <w:t>HR9323900011100021071</w:t>
      </w:r>
    </w:p>
    <w:p w14:paraId="1726DC57" w14:textId="77777777" w:rsidR="00E71D1C" w:rsidRPr="00E71D1C" w:rsidRDefault="00E71D1C" w:rsidP="00E71D1C">
      <w:r w:rsidRPr="00E71D1C">
        <w:t>SWIFT CODE: </w:t>
      </w:r>
      <w:r w:rsidRPr="00E71D1C">
        <w:rPr>
          <w:b/>
          <w:bCs/>
        </w:rPr>
        <w:t>ZABAHR2X</w:t>
      </w:r>
    </w:p>
    <w:p w14:paraId="48DFB538" w14:textId="77777777" w:rsidR="00E71D1C" w:rsidRPr="00E71D1C" w:rsidRDefault="00E71D1C" w:rsidP="00E71D1C">
      <w:r w:rsidRPr="00E71D1C">
        <w:t>Model: </w:t>
      </w:r>
      <w:r w:rsidRPr="00E71D1C">
        <w:rPr>
          <w:b/>
          <w:bCs/>
        </w:rPr>
        <w:t>HR00</w:t>
      </w:r>
    </w:p>
    <w:p w14:paraId="4938075A" w14:textId="77777777" w:rsidR="00E71D1C" w:rsidRPr="00E71D1C" w:rsidRDefault="00E71D1C" w:rsidP="00E71D1C">
      <w:r w:rsidRPr="00E71D1C">
        <w:t>Poziv na broj: </w:t>
      </w:r>
      <w:r w:rsidRPr="00E71D1C">
        <w:rPr>
          <w:b/>
          <w:bCs/>
        </w:rPr>
        <w:t>19795793389</w:t>
      </w:r>
    </w:p>
    <w:p w14:paraId="057ED1A7" w14:textId="77777777" w:rsidR="00E71D1C" w:rsidRPr="00E71D1C" w:rsidRDefault="00E71D1C" w:rsidP="00E71D1C">
      <w:r w:rsidRPr="00E71D1C">
        <w:t>Opis plaćanja: </w:t>
      </w:r>
      <w:r w:rsidRPr="00E71D1C">
        <w:rPr>
          <w:b/>
          <w:bCs/>
        </w:rPr>
        <w:t>Jamstvo za ozbiljnost ponude</w:t>
      </w:r>
    </w:p>
    <w:p w14:paraId="6D3DB1DB" w14:textId="77777777" w:rsidR="00E71D1C" w:rsidRPr="00E71D1C" w:rsidRDefault="00E71D1C" w:rsidP="00E71D1C">
      <w:r w:rsidRPr="00E71D1C">
        <w:rPr>
          <w:b/>
          <w:bCs/>
        </w:rPr>
        <w:t>U slučaju da ponuditelj uplaćuje novčani polog, dostavlja dokaz o uplati koji se prilaže / uvezuje u ponudu. Na temelju dostavljenog dokaza o plaćanju pologa, naručitelj provjerava izvršenje uplate na računu naručitelja.</w:t>
      </w:r>
    </w:p>
    <w:p w14:paraId="72DD159E" w14:textId="77777777" w:rsidR="00E71D1C" w:rsidRPr="00E71D1C" w:rsidRDefault="00E71D1C" w:rsidP="00E71D1C">
      <w:r w:rsidRPr="00E71D1C">
        <w:t>Rok valjanosti jamstva za ozbiljnost ponude mora biti najmanje do isteka roka valjanosti ponude, a gospodarski subjekt može dostaviti jamstvo koje je duže od roka valjanosti ponude.</w:t>
      </w:r>
    </w:p>
    <w:p w14:paraId="2693405E" w14:textId="77777777" w:rsidR="00E71D1C" w:rsidRPr="00E71D1C" w:rsidRDefault="00E71D1C" w:rsidP="00E71D1C">
      <w:pPr>
        <w:rPr>
          <w:b/>
          <w:bCs/>
        </w:rPr>
      </w:pPr>
      <w:r w:rsidRPr="00E71D1C">
        <w:rPr>
          <w:b/>
          <w:bCs/>
        </w:rPr>
        <w:t>Datum, vrijeme i mjesto (javnog) otvaranja ponuda</w:t>
      </w:r>
    </w:p>
    <w:p w14:paraId="7A191443" w14:textId="77777777" w:rsidR="00E71D1C" w:rsidRPr="00E71D1C" w:rsidRDefault="00E71D1C" w:rsidP="00E71D1C">
      <w:r w:rsidRPr="00E71D1C">
        <w:t>Rok za dostavu ponuda je: </w:t>
      </w:r>
      <w:r w:rsidRPr="00E71D1C">
        <w:rPr>
          <w:b/>
          <w:bCs/>
        </w:rPr>
        <w:t>10.09.2025 12:00:00</w:t>
      </w:r>
    </w:p>
    <w:p w14:paraId="2F2B3E6F" w14:textId="77777777" w:rsidR="00E71D1C" w:rsidRPr="00E71D1C" w:rsidRDefault="00E71D1C" w:rsidP="00E71D1C">
      <w:r w:rsidRPr="00E71D1C">
        <w:t>Otvaranje ponuda se vrši elektroničkim putem na EOJN, dok se fizički dijelovi ponuda otvaraju na sljedećoj lokaciji: </w:t>
      </w:r>
      <w:r w:rsidRPr="00E71D1C">
        <w:rPr>
          <w:b/>
          <w:bCs/>
        </w:rPr>
        <w:t>Dom za starije osobe Dubrovnik, Branitelja Dubrovnika 33, Dubrovnik</w:t>
      </w:r>
    </w:p>
    <w:p w14:paraId="2906F7FA" w14:textId="77777777" w:rsidR="00E71D1C" w:rsidRPr="00E71D1C" w:rsidRDefault="00E71D1C" w:rsidP="00E71D1C">
      <w:r w:rsidRPr="00E71D1C">
        <w:t>Otvaranje ponuda održat će se: </w:t>
      </w:r>
      <w:r w:rsidRPr="00E71D1C">
        <w:rPr>
          <w:b/>
          <w:bCs/>
        </w:rPr>
        <w:t>10.09.2025 12:00:00</w:t>
      </w:r>
    </w:p>
    <w:p w14:paraId="0B63E886" w14:textId="77777777" w:rsidR="00E71D1C" w:rsidRPr="00E71D1C" w:rsidRDefault="00E71D1C" w:rsidP="00E71D1C">
      <w:r w:rsidRPr="00E71D1C">
        <w:t>Podaci o ovlaštenim osobama i postupku otvaranja: </w:t>
      </w:r>
      <w:r w:rsidRPr="00E71D1C">
        <w:rPr>
          <w:b/>
          <w:bCs/>
        </w:rPr>
        <w:t>Javnom otvaranju ponuda smiju prisustvovati ovlašteni predstavnici Naručitelja, ponuditelja i druge osobe. Pravo aktivnog sudjelovanja na javnom otvaranju ponuda imaju samo ovlašteni predstavnici Naručitelja i ovlašteni predstavnici ponuditelja.</w:t>
      </w:r>
    </w:p>
    <w:p w14:paraId="12DC00B9" w14:textId="77777777" w:rsidR="00E71D1C" w:rsidRPr="00E71D1C" w:rsidRDefault="00E71D1C" w:rsidP="00E71D1C">
      <w:pPr>
        <w:rPr>
          <w:b/>
          <w:bCs/>
        </w:rPr>
      </w:pPr>
      <w:r w:rsidRPr="00E71D1C">
        <w:rPr>
          <w:b/>
          <w:bCs/>
        </w:rPr>
        <w:t>Navod o primjeni trgovačkih običaja (uzanci)</w:t>
      </w:r>
    </w:p>
    <w:p w14:paraId="1D147AD9" w14:textId="77777777" w:rsidR="00E71D1C" w:rsidRPr="00E71D1C" w:rsidRDefault="00E71D1C" w:rsidP="00E71D1C">
      <w:r w:rsidRPr="00E71D1C">
        <w:lastRenderedPageBreak/>
        <w:t>Ne primjenjuju se trgovački običaji (uzance).</w:t>
      </w:r>
    </w:p>
    <w:p w14:paraId="35B98ECE" w14:textId="77777777" w:rsidR="00E71D1C" w:rsidRPr="00E71D1C" w:rsidRDefault="00E71D1C" w:rsidP="00E71D1C">
      <w:pPr>
        <w:rPr>
          <w:b/>
          <w:bCs/>
        </w:rPr>
      </w:pPr>
      <w:r w:rsidRPr="00E71D1C">
        <w:rPr>
          <w:b/>
          <w:bCs/>
        </w:rPr>
        <w:t>Rok za donošenje odluke o odabiru ili poništenju</w:t>
      </w:r>
    </w:p>
    <w:p w14:paraId="2AA8429D" w14:textId="77777777" w:rsidR="00E71D1C" w:rsidRPr="00E71D1C" w:rsidRDefault="00E71D1C" w:rsidP="00E71D1C">
      <w:r w:rsidRPr="00E71D1C">
        <w:t>Rok za donošenje odluke o odabiru je 30 dana od dana isteka roka za dostavu.</w:t>
      </w:r>
    </w:p>
    <w:p w14:paraId="14104958" w14:textId="77777777" w:rsidR="00E71D1C" w:rsidRPr="00E71D1C" w:rsidRDefault="00E71D1C" w:rsidP="00E71D1C">
      <w:r w:rsidRPr="00E71D1C">
        <w:t>Rok za donošenje odluke o poništenju je 30 dana od dana nastanka razloga za poništenje postupka.</w:t>
      </w:r>
    </w:p>
    <w:p w14:paraId="4FDA734F" w14:textId="77777777" w:rsidR="00E71D1C" w:rsidRPr="00E71D1C" w:rsidRDefault="00E71D1C" w:rsidP="00E71D1C">
      <w:pPr>
        <w:rPr>
          <w:b/>
          <w:bCs/>
        </w:rPr>
      </w:pPr>
      <w:r w:rsidRPr="00E71D1C">
        <w:rPr>
          <w:b/>
          <w:bCs/>
        </w:rPr>
        <w:t>Rok, način i uvjeti plaćanja</w:t>
      </w:r>
    </w:p>
    <w:p w14:paraId="0A867C56" w14:textId="77777777" w:rsidR="00E71D1C" w:rsidRPr="00E71D1C" w:rsidRDefault="00E71D1C" w:rsidP="00E71D1C">
      <w:r w:rsidRPr="00E71D1C">
        <w:t>Naručitelj se obvezuje isplatiti isporučitelju iznos koji je obračunat temeljem obračuna potrošnje po svakom obračunskom mjestu, a temeljem ispostavljenih i ovjerenih računa u roku od 30 dana od dana izdavanja računa na IBAN isporučitelja</w:t>
      </w:r>
    </w:p>
    <w:p w14:paraId="645CB287" w14:textId="77777777" w:rsidR="00E71D1C" w:rsidRPr="00E71D1C" w:rsidRDefault="00E71D1C" w:rsidP="00E71D1C">
      <w:r w:rsidRPr="00E71D1C">
        <w:rPr>
          <w:b/>
          <w:bCs/>
        </w:rPr>
        <w:t xml:space="preserve">Naručitelj će neposredno plaćati </w:t>
      </w:r>
      <w:proofErr w:type="spellStart"/>
      <w:r w:rsidRPr="00E71D1C">
        <w:rPr>
          <w:b/>
          <w:bCs/>
        </w:rPr>
        <w:t>podugovaratelju</w:t>
      </w:r>
      <w:proofErr w:type="spellEnd"/>
      <w:r w:rsidRPr="00E71D1C">
        <w:rPr>
          <w:b/>
          <w:bCs/>
        </w:rPr>
        <w:t xml:space="preserve"> za dio ugovora koji je isti izvršio, osim ako ugovaratelj dokaže da su obveze prema </w:t>
      </w:r>
      <w:proofErr w:type="spellStart"/>
      <w:r w:rsidRPr="00E71D1C">
        <w:rPr>
          <w:b/>
          <w:bCs/>
        </w:rPr>
        <w:t>podugovaratelju</w:t>
      </w:r>
      <w:proofErr w:type="spellEnd"/>
      <w:r w:rsidRPr="00E71D1C">
        <w:rPr>
          <w:b/>
          <w:bCs/>
        </w:rPr>
        <w:t xml:space="preserve"> za taj dio ugovora već podmirene. Ugovaratelj mora svom računu ili situaciji priložiti račune ili situacije svojih </w:t>
      </w:r>
      <w:proofErr w:type="spellStart"/>
      <w:r w:rsidRPr="00E71D1C">
        <w:rPr>
          <w:b/>
          <w:bCs/>
        </w:rPr>
        <w:t>podugovaratelja</w:t>
      </w:r>
      <w:proofErr w:type="spellEnd"/>
      <w:r w:rsidRPr="00E71D1C">
        <w:rPr>
          <w:b/>
          <w:bCs/>
        </w:rPr>
        <w:t xml:space="preserve"> koje je prethodno potvrdio.</w:t>
      </w:r>
    </w:p>
    <w:p w14:paraId="5339C33A" w14:textId="77777777" w:rsidR="00E71D1C" w:rsidRPr="00E71D1C" w:rsidRDefault="00E71D1C" w:rsidP="00E71D1C">
      <w:pPr>
        <w:rPr>
          <w:b/>
          <w:bCs/>
        </w:rPr>
      </w:pPr>
      <w:r w:rsidRPr="00E71D1C">
        <w:rPr>
          <w:b/>
          <w:bCs/>
        </w:rPr>
        <w:t>Rok za izjavljivanje žalbe na dokumentaciju o nabavi te naziv i adresa žalbenog tijela</w:t>
      </w:r>
    </w:p>
    <w:p w14:paraId="6A036E45" w14:textId="77777777" w:rsidR="00E71D1C" w:rsidRPr="00E71D1C" w:rsidRDefault="00E71D1C" w:rsidP="00E71D1C">
      <w:r w:rsidRPr="00E71D1C">
        <w:t>Rok za izjavljivanje žalbe iznosi deset (10) dana i to od dana:</w:t>
      </w:r>
      <w:r w:rsidRPr="00E71D1C">
        <w:br/>
        <w:t>1. objave poziva na nadmetanje, u odnosu na sadržaj poziva ili dokumentacije o nabavi</w:t>
      </w:r>
      <w:r w:rsidRPr="00E71D1C">
        <w:br/>
        <w:t>2. objave obavijesti o ispravku, u odnosu na sadržaj ispravka</w:t>
      </w:r>
      <w:r w:rsidRPr="00E71D1C">
        <w:br/>
        <w:t>3. objave izmjene dokumentacije o nabavi, u odnosu na sadržaj izmjene dokumentacije</w:t>
      </w:r>
      <w:r w:rsidRPr="00E71D1C">
        <w:br/>
        <w:t>4. otvaranja ponuda u odnosu na propuštanje naručitelja da valjano odgovori na pravodobno dostavljen zahtjev dodatne informacije, objašnjenja ili izmjene dokumentacije o nabavi te na postupak otvaranja ponuda</w:t>
      </w:r>
      <w:r w:rsidRPr="00E71D1C">
        <w:br/>
      </w:r>
      <w:r w:rsidRPr="00E71D1C">
        <w:br/>
        <w:t>Žalitelj koji je propustio izjaviti žalbu u određenoj fazi nema pravo na žalbu u kasnijoj fazi postupka za prethodnu fazu.</w:t>
      </w:r>
    </w:p>
    <w:p w14:paraId="20AA43FB" w14:textId="77777777" w:rsidR="00E71D1C" w:rsidRPr="00E71D1C" w:rsidRDefault="00E71D1C" w:rsidP="00E71D1C">
      <w:r w:rsidRPr="00E71D1C">
        <w:rPr>
          <w:b/>
          <w:bCs/>
        </w:rPr>
        <w:t>Podaci žalbenog tijela</w:t>
      </w:r>
    </w:p>
    <w:p w14:paraId="3EFEB1C6" w14:textId="77777777" w:rsidR="00E71D1C" w:rsidRPr="00E71D1C" w:rsidRDefault="00E71D1C" w:rsidP="00E71D1C">
      <w:r w:rsidRPr="00E71D1C">
        <w:t>Naziv: </w:t>
      </w:r>
      <w:r w:rsidRPr="00E71D1C">
        <w:rPr>
          <w:b/>
          <w:bCs/>
        </w:rPr>
        <w:t>Državna komisija za kontrolu postupaka javne nabave</w:t>
      </w:r>
    </w:p>
    <w:p w14:paraId="4BF6DE9B" w14:textId="77777777" w:rsidR="00E71D1C" w:rsidRPr="00E71D1C" w:rsidRDefault="00E71D1C" w:rsidP="00E71D1C">
      <w:r w:rsidRPr="00E71D1C">
        <w:t>Adresa: </w:t>
      </w:r>
      <w:r w:rsidRPr="00E71D1C">
        <w:rPr>
          <w:b/>
          <w:bCs/>
        </w:rPr>
        <w:t>Ulica grada Vukovara 23/V,</w:t>
      </w:r>
      <w:r w:rsidRPr="00E71D1C">
        <w:t> </w:t>
      </w:r>
      <w:r w:rsidRPr="00E71D1C">
        <w:rPr>
          <w:b/>
          <w:bCs/>
        </w:rPr>
        <w:t>10000</w:t>
      </w:r>
      <w:r w:rsidRPr="00E71D1C">
        <w:t> </w:t>
      </w:r>
      <w:r w:rsidRPr="00E71D1C">
        <w:rPr>
          <w:b/>
          <w:bCs/>
        </w:rPr>
        <w:t>Zagreb</w:t>
      </w:r>
    </w:p>
    <w:p w14:paraId="58C6CCCE" w14:textId="77777777" w:rsidR="00E71D1C" w:rsidRPr="00E71D1C" w:rsidRDefault="00E71D1C" w:rsidP="00E71D1C">
      <w:r w:rsidRPr="00E71D1C">
        <w:t>Telefon: </w:t>
      </w:r>
      <w:r w:rsidRPr="00E71D1C">
        <w:rPr>
          <w:b/>
          <w:bCs/>
        </w:rPr>
        <w:t>+385 14559930</w:t>
      </w:r>
    </w:p>
    <w:p w14:paraId="5DABD546" w14:textId="77777777" w:rsidR="00E71D1C" w:rsidRPr="00E71D1C" w:rsidRDefault="00E71D1C" w:rsidP="00E71D1C">
      <w:r w:rsidRPr="00E71D1C">
        <w:t>Telefaks: </w:t>
      </w:r>
      <w:r w:rsidRPr="00E71D1C">
        <w:rPr>
          <w:b/>
          <w:bCs/>
        </w:rPr>
        <w:t>+385 14559933</w:t>
      </w:r>
    </w:p>
    <w:p w14:paraId="2421C17D" w14:textId="77777777" w:rsidR="00E71D1C" w:rsidRPr="00E71D1C" w:rsidRDefault="00E71D1C" w:rsidP="00E71D1C">
      <w:r w:rsidRPr="00E71D1C">
        <w:t>Adresa elektroničke pošte: </w:t>
      </w:r>
      <w:r w:rsidRPr="00E71D1C">
        <w:rPr>
          <w:b/>
          <w:bCs/>
        </w:rPr>
        <w:t>dkom@dkom.hr</w:t>
      </w:r>
    </w:p>
    <w:p w14:paraId="3E0890D5" w14:textId="77777777" w:rsidR="00E71D1C" w:rsidRPr="00E71D1C" w:rsidRDefault="00E71D1C" w:rsidP="00E71D1C">
      <w:r w:rsidRPr="00E71D1C">
        <w:t>Internet stranica: </w:t>
      </w:r>
      <w:r w:rsidRPr="00E71D1C">
        <w:rPr>
          <w:b/>
          <w:bCs/>
        </w:rPr>
        <w:t>https://www.dkom.hr/</w:t>
      </w:r>
    </w:p>
    <w:p w14:paraId="771AAB61" w14:textId="77777777" w:rsidR="00E74B9A" w:rsidRPr="00E71D1C" w:rsidRDefault="00E74B9A" w:rsidP="00E71D1C"/>
    <w:sectPr w:rsidR="00E74B9A" w:rsidRPr="00E71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44035"/>
    <w:multiLevelType w:val="multilevel"/>
    <w:tmpl w:val="F8244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7B7019"/>
    <w:multiLevelType w:val="multilevel"/>
    <w:tmpl w:val="93BAA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062477">
    <w:abstractNumId w:val="1"/>
  </w:num>
  <w:num w:numId="2" w16cid:durableId="91744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1C"/>
    <w:rsid w:val="009001D0"/>
    <w:rsid w:val="00C532D1"/>
    <w:rsid w:val="00E71D1C"/>
    <w:rsid w:val="00E74B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2222"/>
  <w15:chartTrackingRefBased/>
  <w15:docId w15:val="{F83DC011-B60D-4776-B4EC-4C0DC2B0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E71D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E71D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E71D1C"/>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E71D1C"/>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E71D1C"/>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E71D1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71D1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71D1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71D1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71D1C"/>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E71D1C"/>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E71D1C"/>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E71D1C"/>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E71D1C"/>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E71D1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71D1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71D1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71D1C"/>
    <w:rPr>
      <w:rFonts w:eastAsiaTheme="majorEastAsia" w:cstheme="majorBidi"/>
      <w:color w:val="272727" w:themeColor="text1" w:themeTint="D8"/>
    </w:rPr>
  </w:style>
  <w:style w:type="paragraph" w:styleId="Naslov">
    <w:name w:val="Title"/>
    <w:basedOn w:val="Normal"/>
    <w:next w:val="Normal"/>
    <w:link w:val="NaslovChar"/>
    <w:uiPriority w:val="10"/>
    <w:qFormat/>
    <w:rsid w:val="00E71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71D1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71D1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71D1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71D1C"/>
    <w:pPr>
      <w:spacing w:before="160"/>
      <w:jc w:val="center"/>
    </w:pPr>
    <w:rPr>
      <w:i/>
      <w:iCs/>
      <w:color w:val="404040" w:themeColor="text1" w:themeTint="BF"/>
    </w:rPr>
  </w:style>
  <w:style w:type="character" w:customStyle="1" w:styleId="CitatChar">
    <w:name w:val="Citat Char"/>
    <w:basedOn w:val="Zadanifontodlomka"/>
    <w:link w:val="Citat"/>
    <w:uiPriority w:val="29"/>
    <w:rsid w:val="00E71D1C"/>
    <w:rPr>
      <w:i/>
      <w:iCs/>
      <w:color w:val="404040" w:themeColor="text1" w:themeTint="BF"/>
    </w:rPr>
  </w:style>
  <w:style w:type="paragraph" w:styleId="Odlomakpopisa">
    <w:name w:val="List Paragraph"/>
    <w:basedOn w:val="Normal"/>
    <w:uiPriority w:val="34"/>
    <w:qFormat/>
    <w:rsid w:val="00E71D1C"/>
    <w:pPr>
      <w:ind w:left="720"/>
      <w:contextualSpacing/>
    </w:pPr>
  </w:style>
  <w:style w:type="character" w:styleId="Jakoisticanje">
    <w:name w:val="Intense Emphasis"/>
    <w:basedOn w:val="Zadanifontodlomka"/>
    <w:uiPriority w:val="21"/>
    <w:qFormat/>
    <w:rsid w:val="00E71D1C"/>
    <w:rPr>
      <w:i/>
      <w:iCs/>
      <w:color w:val="2F5496" w:themeColor="accent1" w:themeShade="BF"/>
    </w:rPr>
  </w:style>
  <w:style w:type="paragraph" w:styleId="Naglaencitat">
    <w:name w:val="Intense Quote"/>
    <w:basedOn w:val="Normal"/>
    <w:next w:val="Normal"/>
    <w:link w:val="NaglaencitatChar"/>
    <w:uiPriority w:val="30"/>
    <w:qFormat/>
    <w:rsid w:val="00E71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E71D1C"/>
    <w:rPr>
      <w:i/>
      <w:iCs/>
      <w:color w:val="2F5496" w:themeColor="accent1" w:themeShade="BF"/>
    </w:rPr>
  </w:style>
  <w:style w:type="character" w:styleId="Istaknutareferenca">
    <w:name w:val="Intense Reference"/>
    <w:basedOn w:val="Zadanifontodlomka"/>
    <w:uiPriority w:val="32"/>
    <w:qFormat/>
    <w:rsid w:val="00E71D1C"/>
    <w:rPr>
      <w:b/>
      <w:bCs/>
      <w:smallCaps/>
      <w:color w:val="2F5496" w:themeColor="accent1" w:themeShade="BF"/>
      <w:spacing w:val="5"/>
    </w:rPr>
  </w:style>
  <w:style w:type="character" w:styleId="Hiperveza">
    <w:name w:val="Hyperlink"/>
    <w:basedOn w:val="Zadanifontodlomka"/>
    <w:uiPriority w:val="99"/>
    <w:unhideWhenUsed/>
    <w:rsid w:val="00E71D1C"/>
    <w:rPr>
      <w:color w:val="0563C1" w:themeColor="hyperlink"/>
      <w:u w:val="single"/>
    </w:rPr>
  </w:style>
  <w:style w:type="character" w:styleId="Nerijeenospominjanje">
    <w:name w:val="Unresolved Mention"/>
    <w:basedOn w:val="Zadanifontodlomka"/>
    <w:uiPriority w:val="99"/>
    <w:semiHidden/>
    <w:unhideWhenUsed/>
    <w:rsid w:val="00E71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13"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18"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26" Type="http://schemas.openxmlformats.org/officeDocument/2006/relationships/hyperlink" Target="https://eojn.hr/tender-eo/54239" TargetMode="External"/><Relationship Id="rId3" Type="http://schemas.openxmlformats.org/officeDocument/2006/relationships/settings" Target="settings.xml"/><Relationship Id="rId21"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7"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12"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17"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25"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2" Type="http://schemas.openxmlformats.org/officeDocument/2006/relationships/styles" Target="styles.xml"/><Relationship Id="rId16"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20"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11"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24"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5"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15"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23"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28" Type="http://schemas.openxmlformats.org/officeDocument/2006/relationships/fontTable" Target="fontTable.xml"/><Relationship Id="rId10"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19"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4" Type="http://schemas.openxmlformats.org/officeDocument/2006/relationships/webSettings" Target="webSettings.xml"/><Relationship Id="rId9"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14"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22" Type="http://schemas.openxmlformats.org/officeDocument/2006/relationships/hyperlink" Target="https://eojn.hr/GetDocument.ashx?id=9c5f769e-b711-4363-a60a-8224912e2442-7036&amp;entityId=54239&amp;objectMetaId=1&amp;documentGroupId=19&amp;associationTypeId=2&amp;userToken=52c1d0a9-5547-433c-bfc1-35e4489aeffc" TargetMode="External"/><Relationship Id="rId27" Type="http://schemas.openxmlformats.org/officeDocument/2006/relationships/hyperlink" Target="https://dev.azure.com/deanfirkelj/Upute%20EOJN/_wiki/wikis/Upute%20EOJN/220/Upute-EOJN"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3091</Words>
  <Characters>17620</Characters>
  <Application>Microsoft Office Word</Application>
  <DocSecurity>0</DocSecurity>
  <Lines>146</Lines>
  <Paragraphs>41</Paragraphs>
  <ScaleCrop>false</ScaleCrop>
  <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Zeljko Visic</dc:creator>
  <cp:keywords/>
  <dc:description/>
  <cp:lastModifiedBy>Zeljko Visic</cp:lastModifiedBy>
  <cp:revision>1</cp:revision>
  <dcterms:created xsi:type="dcterms:W3CDTF">2025-08-20T07:02:00Z</dcterms:created>
  <dcterms:modified xsi:type="dcterms:W3CDTF">2025-08-20T07:03:00Z</dcterms:modified>
</cp:coreProperties>
</file>