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40A32" w14:textId="4ED7EF23" w:rsidR="00F122BC" w:rsidRDefault="00F122BC" w:rsidP="00F122BC">
      <w:pPr>
        <w:spacing w:before="120"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val="hr-HR"/>
        </w:rPr>
      </w:pPr>
      <w:r w:rsidRPr="00F122BC">
        <w:rPr>
          <w:rFonts w:ascii="Times New Roman" w:hAnsi="Times New Roman"/>
          <w:b/>
          <w:bCs/>
          <w:iCs/>
          <w:sz w:val="32"/>
          <w:szCs w:val="32"/>
        </w:rPr>
        <w:t xml:space="preserve">Kriterij za odabir </w:t>
      </w:r>
      <w:r>
        <w:rPr>
          <w:rFonts w:ascii="Times New Roman" w:hAnsi="Times New Roman"/>
          <w:b/>
          <w:bCs/>
          <w:iCs/>
          <w:sz w:val="32"/>
          <w:szCs w:val="32"/>
          <w:lang w:val="hr-HR"/>
        </w:rPr>
        <w:t xml:space="preserve">ekonomski najpovoljnije </w:t>
      </w:r>
      <w:r w:rsidRPr="00F122BC">
        <w:rPr>
          <w:rFonts w:ascii="Times New Roman" w:hAnsi="Times New Roman"/>
          <w:b/>
          <w:bCs/>
          <w:iCs/>
          <w:sz w:val="32"/>
          <w:szCs w:val="32"/>
        </w:rPr>
        <w:t>ponude</w:t>
      </w:r>
    </w:p>
    <w:p w14:paraId="3ADCC9CF" w14:textId="0EB4F47D" w:rsidR="00F122BC" w:rsidRPr="00F122BC" w:rsidRDefault="00F122BC" w:rsidP="00F122BC">
      <w:pPr>
        <w:spacing w:before="120"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val="hr-HR"/>
        </w:rPr>
      </w:pPr>
      <w:r>
        <w:rPr>
          <w:rFonts w:ascii="Times New Roman" w:hAnsi="Times New Roman"/>
          <w:b/>
          <w:bCs/>
          <w:iCs/>
          <w:sz w:val="32"/>
          <w:szCs w:val="32"/>
          <w:lang w:val="hr-HR"/>
        </w:rPr>
        <w:t>(za ručno rangiranje)</w:t>
      </w:r>
    </w:p>
    <w:p w14:paraId="2D4FB45D" w14:textId="77777777" w:rsidR="00F122BC" w:rsidRDefault="00F122BC" w:rsidP="00F122B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6D79A83" w14:textId="77777777" w:rsidR="00F122BC" w:rsidRDefault="00F122BC" w:rsidP="00F122B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68CCBBE" w14:textId="4336EDDB" w:rsidR="00F122BC" w:rsidRPr="00ED199E" w:rsidRDefault="00F122BC" w:rsidP="00F122B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99E">
        <w:rPr>
          <w:rFonts w:ascii="Times New Roman" w:hAnsi="Times New Roman"/>
          <w:sz w:val="24"/>
          <w:szCs w:val="24"/>
        </w:rPr>
        <w:t>Kriterij za odabir ponude je ekonomski najpovoljnija ponuda (ENP), sukladno članku 283. ZJN 2016.</w:t>
      </w:r>
    </w:p>
    <w:p w14:paraId="72711ED3" w14:textId="77777777" w:rsidR="00F122BC" w:rsidRPr="00ED199E" w:rsidRDefault="00F122BC" w:rsidP="00F122B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99E">
        <w:rPr>
          <w:rFonts w:ascii="Times New Roman" w:hAnsi="Times New Roman"/>
          <w:sz w:val="24"/>
          <w:szCs w:val="24"/>
        </w:rPr>
        <w:t>Kriteriji za odabir ENP i njihov relativni značaj:</w:t>
      </w:r>
    </w:p>
    <w:p w14:paraId="78B86695" w14:textId="77777777" w:rsidR="00F122BC" w:rsidRPr="00ED199E" w:rsidRDefault="00F122BC" w:rsidP="00F122B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122BC" w:rsidRPr="00ED199E" w14:paraId="57EEA3B8" w14:textId="77777777" w:rsidTr="004C3CA0">
        <w:tc>
          <w:tcPr>
            <w:tcW w:w="2500" w:type="pct"/>
          </w:tcPr>
          <w:p w14:paraId="55444B8D" w14:textId="77777777" w:rsidR="00F122BC" w:rsidRPr="00ED199E" w:rsidRDefault="00F122BC" w:rsidP="004C3CA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D19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Kriterij</w:t>
            </w:r>
          </w:p>
        </w:tc>
        <w:tc>
          <w:tcPr>
            <w:tcW w:w="2500" w:type="pct"/>
          </w:tcPr>
          <w:p w14:paraId="38134FF1" w14:textId="77777777" w:rsidR="00F122BC" w:rsidRPr="00ED199E" w:rsidRDefault="00F122BC" w:rsidP="004C3CA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D19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Relativni značaj</w:t>
            </w:r>
          </w:p>
        </w:tc>
      </w:tr>
      <w:tr w:rsidR="00F122BC" w:rsidRPr="00ED199E" w14:paraId="7DD8CD81" w14:textId="77777777" w:rsidTr="004C3CA0">
        <w:tc>
          <w:tcPr>
            <w:tcW w:w="2500" w:type="pct"/>
          </w:tcPr>
          <w:p w14:paraId="790BBB82" w14:textId="77777777" w:rsidR="00F122BC" w:rsidRPr="00D446AC" w:rsidRDefault="00F122BC" w:rsidP="004C3CA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ED19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Cijena ponude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/>
              </w:rPr>
              <w:t xml:space="preserve"> (C)</w:t>
            </w:r>
          </w:p>
        </w:tc>
        <w:tc>
          <w:tcPr>
            <w:tcW w:w="2500" w:type="pct"/>
          </w:tcPr>
          <w:p w14:paraId="5225591F" w14:textId="77777777" w:rsidR="00F122BC" w:rsidRPr="00ED199E" w:rsidRDefault="00F122BC" w:rsidP="004C3CA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D19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90 %</w:t>
            </w:r>
          </w:p>
        </w:tc>
      </w:tr>
      <w:tr w:rsidR="00F122BC" w:rsidRPr="00ED199E" w14:paraId="1855DE03" w14:textId="77777777" w:rsidTr="004C3CA0">
        <w:tc>
          <w:tcPr>
            <w:tcW w:w="2500" w:type="pct"/>
          </w:tcPr>
          <w:p w14:paraId="0150C681" w14:textId="77777777" w:rsidR="00F122BC" w:rsidRPr="00C433B3" w:rsidRDefault="00F122BC" w:rsidP="004C3CA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/>
              </w:rPr>
              <w:t>Električna energija iz obnovljivih izvora (Z)</w:t>
            </w:r>
          </w:p>
        </w:tc>
        <w:tc>
          <w:tcPr>
            <w:tcW w:w="2500" w:type="pct"/>
          </w:tcPr>
          <w:p w14:paraId="12DBE110" w14:textId="77777777" w:rsidR="00F122BC" w:rsidRPr="00ED199E" w:rsidRDefault="00F122BC" w:rsidP="004C3CA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D19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10 %</w:t>
            </w:r>
          </w:p>
        </w:tc>
      </w:tr>
      <w:tr w:rsidR="00F122BC" w:rsidRPr="00ED199E" w14:paraId="692EFE25" w14:textId="77777777" w:rsidTr="004C3CA0">
        <w:tc>
          <w:tcPr>
            <w:tcW w:w="2500" w:type="pct"/>
          </w:tcPr>
          <w:p w14:paraId="3132C4BD" w14:textId="77777777" w:rsidR="00F122BC" w:rsidRPr="00ED199E" w:rsidRDefault="00F122BC" w:rsidP="004C3CA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D19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500" w:type="pct"/>
          </w:tcPr>
          <w:p w14:paraId="03B245DE" w14:textId="77777777" w:rsidR="00F122BC" w:rsidRPr="00ED199E" w:rsidRDefault="00F122BC" w:rsidP="004C3CA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D19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100 %</w:t>
            </w:r>
          </w:p>
        </w:tc>
      </w:tr>
    </w:tbl>
    <w:p w14:paraId="4AD8C53E" w14:textId="77777777" w:rsidR="00F122BC" w:rsidRPr="00ED199E" w:rsidRDefault="00F122BC" w:rsidP="00F122BC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13BDFA" w14:textId="77777777" w:rsidR="00F122BC" w:rsidRPr="00ED199E" w:rsidRDefault="00F122BC" w:rsidP="00F122BC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199E">
        <w:rPr>
          <w:rFonts w:ascii="Times New Roman" w:hAnsi="Times New Roman"/>
          <w:b/>
          <w:bCs/>
          <w:sz w:val="24"/>
          <w:szCs w:val="24"/>
        </w:rPr>
        <w:t>OPIS KRITERIJA I NAČIN UTVRĐIVANJA BODOVNE VRIJEDNOSTI:</w:t>
      </w:r>
    </w:p>
    <w:p w14:paraId="056C1397" w14:textId="77777777" w:rsidR="00F122BC" w:rsidRPr="00ED199E" w:rsidRDefault="00F122BC" w:rsidP="00F122BC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199E">
        <w:rPr>
          <w:rFonts w:ascii="Times New Roman" w:hAnsi="Times New Roman"/>
          <w:b/>
          <w:bCs/>
          <w:sz w:val="24"/>
          <w:szCs w:val="24"/>
        </w:rPr>
        <w:t>1. Cijena ponude</w:t>
      </w:r>
    </w:p>
    <w:p w14:paraId="1E382D66" w14:textId="77777777" w:rsidR="00F122BC" w:rsidRPr="00ED199E" w:rsidRDefault="00F122BC" w:rsidP="00F122BC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199E">
        <w:rPr>
          <w:rFonts w:ascii="Times New Roman" w:hAnsi="Times New Roman"/>
          <w:bCs/>
          <w:sz w:val="24"/>
          <w:szCs w:val="24"/>
        </w:rPr>
        <w:t xml:space="preserve">Naručitelj kao jedan od kriterija određuje cijenu ponude. </w:t>
      </w:r>
    </w:p>
    <w:p w14:paraId="6C32559A" w14:textId="77777777" w:rsidR="00F122BC" w:rsidRPr="00ED199E" w:rsidRDefault="00F122BC" w:rsidP="00F122BC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199E">
        <w:rPr>
          <w:rFonts w:ascii="Times New Roman" w:hAnsi="Times New Roman"/>
          <w:bCs/>
          <w:sz w:val="24"/>
          <w:szCs w:val="24"/>
        </w:rPr>
        <w:t>Maksimalni broj bodova koji ponuditelj može dobiti prema ovom kriteriju je 90. Onaj ponuditelj koji dostavi ponudu sa najnižom cijenom dobit će maksimalni broj bodova.</w:t>
      </w:r>
    </w:p>
    <w:p w14:paraId="620AF3F2" w14:textId="77777777" w:rsidR="00F122BC" w:rsidRDefault="00F122BC" w:rsidP="00F122BC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ED199E">
        <w:rPr>
          <w:rFonts w:ascii="Times New Roman" w:hAnsi="Times New Roman"/>
          <w:bCs/>
          <w:sz w:val="24"/>
          <w:szCs w:val="24"/>
        </w:rPr>
        <w:t>Bodovna vrijednost prema ovom kriteriju izračunava se prema slijedećoj formuli:</w:t>
      </w:r>
    </w:p>
    <w:p w14:paraId="593D869F" w14:textId="77777777" w:rsidR="00F122BC" w:rsidRPr="00524370" w:rsidRDefault="00F122BC" w:rsidP="00F122BC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28625755" w14:textId="6D8F8266" w:rsidR="00F122BC" w:rsidRPr="00F122BC" w:rsidRDefault="00F122BC" w:rsidP="00F122BC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val="hr-HR"/>
        </w:rPr>
      </w:pPr>
      <m:oMathPara>
        <m:oMath>
          <m:r>
            <w:rPr>
              <w:rFonts w:ascii="Cambria Math" w:hAnsi="Cambria Math"/>
            </w:rPr>
            <m:t xml:space="preserve">C= 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Cmin</m:t>
              </m:r>
            </m:num>
            <m:den>
              <m:r>
                <w:rPr>
                  <w:rFonts w:ascii="Cambria Math" w:hAnsi="Cambria Math"/>
                </w:rPr>
                <m:t>Cpon</m:t>
              </m:r>
            </m:den>
          </m:f>
          <m:r>
            <w:rPr>
              <w:rFonts w:ascii="Cambria Math" w:hAnsi="Cambria Math"/>
            </w:rPr>
            <m:t>*90</m:t>
          </m:r>
        </m:oMath>
      </m:oMathPara>
    </w:p>
    <w:p w14:paraId="5FBD1BFD" w14:textId="77777777" w:rsidR="00F122BC" w:rsidRDefault="00F122BC" w:rsidP="00F122BC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74E79704" w14:textId="77777777" w:rsidR="00F122BC" w:rsidRPr="00ED199E" w:rsidRDefault="00F122BC" w:rsidP="00F122BC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199E">
        <w:rPr>
          <w:rFonts w:ascii="Times New Roman" w:hAnsi="Times New Roman"/>
          <w:bCs/>
          <w:sz w:val="24"/>
          <w:szCs w:val="24"/>
        </w:rPr>
        <w:t>pri čemu je:</w:t>
      </w:r>
    </w:p>
    <w:p w14:paraId="73997A0C" w14:textId="77777777" w:rsidR="00F122BC" w:rsidRPr="00ED199E" w:rsidRDefault="00F122BC" w:rsidP="00F122BC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199E">
        <w:rPr>
          <w:rFonts w:ascii="Times New Roman" w:hAnsi="Times New Roman"/>
          <w:bCs/>
          <w:sz w:val="24"/>
          <w:szCs w:val="24"/>
        </w:rPr>
        <w:t>C = broj bodova po kriteriju cijene za ponudu koja se ocjenjuje</w:t>
      </w:r>
    </w:p>
    <w:p w14:paraId="61EC1977" w14:textId="77777777" w:rsidR="00F122BC" w:rsidRPr="00ED199E" w:rsidRDefault="00F122BC" w:rsidP="00F122BC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199E">
        <w:rPr>
          <w:rFonts w:ascii="Times New Roman" w:hAnsi="Times New Roman"/>
          <w:bCs/>
          <w:sz w:val="24"/>
          <w:szCs w:val="24"/>
        </w:rPr>
        <w:t>Cmin = najniža ponuđena cijena</w:t>
      </w:r>
    </w:p>
    <w:p w14:paraId="3999D4DB" w14:textId="77777777" w:rsidR="00F122BC" w:rsidRPr="00ED199E" w:rsidRDefault="00F122BC" w:rsidP="00F122BC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199E">
        <w:rPr>
          <w:rFonts w:ascii="Times New Roman" w:hAnsi="Times New Roman"/>
          <w:bCs/>
          <w:sz w:val="24"/>
          <w:szCs w:val="24"/>
        </w:rPr>
        <w:t>Cpon = ponuđena cijena ponude koja se ocjenjuje</w:t>
      </w:r>
    </w:p>
    <w:p w14:paraId="5D879B3E" w14:textId="77777777" w:rsidR="00F122BC" w:rsidRPr="00ED199E" w:rsidRDefault="00F122BC" w:rsidP="00F122BC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199E">
        <w:rPr>
          <w:rFonts w:ascii="Times New Roman" w:hAnsi="Times New Roman"/>
          <w:bCs/>
          <w:sz w:val="24"/>
          <w:szCs w:val="24"/>
        </w:rPr>
        <w:t>90 = maksimalni broj bodova po kriteriju cijene</w:t>
      </w:r>
    </w:p>
    <w:p w14:paraId="365B7084" w14:textId="77777777" w:rsidR="00F122BC" w:rsidRDefault="00F122BC" w:rsidP="00F122B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D199E">
        <w:rPr>
          <w:rFonts w:ascii="Times New Roman" w:hAnsi="Times New Roman"/>
          <w:sz w:val="24"/>
          <w:szCs w:val="24"/>
        </w:rPr>
        <w:t>Broj bodova za promatranu ponudu po kriteriju cijene, dobiven po gore navedenoj formuli, utvrđuje se kao decimalni broj (uz zaokruživanje na dva decimalna mjesta</w:t>
      </w:r>
      <w:bookmarkStart w:id="0" w:name="_Hlk5547216"/>
      <w:r w:rsidRPr="00ED199E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E05A7B">
        <w:rPr>
          <w:rFonts w:ascii="Times New Roman" w:hAnsi="Times New Roman"/>
          <w:sz w:val="24"/>
          <w:szCs w:val="24"/>
          <w:lang w:val="hr-HR"/>
        </w:rPr>
        <w:t>Javni naručitelj će uspoređivati cijene ponude s porezom na dodanu vrijednost.</w:t>
      </w:r>
    </w:p>
    <w:p w14:paraId="6CF84D5E" w14:textId="77777777" w:rsidR="00F122BC" w:rsidRPr="00E05A7B" w:rsidRDefault="00F122BC" w:rsidP="00F122B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bookmarkEnd w:id="0"/>
    <w:p w14:paraId="0CBD120D" w14:textId="77777777" w:rsidR="00F122BC" w:rsidRPr="00D446AC" w:rsidRDefault="00F122BC" w:rsidP="00F122BC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ED199E"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Električna energija iz obnovljivih izvora</w:t>
      </w:r>
    </w:p>
    <w:p w14:paraId="4C6A3CC9" w14:textId="77777777" w:rsidR="00F122BC" w:rsidRDefault="00F122BC" w:rsidP="00F12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22AAD079" w14:textId="77777777" w:rsidR="00F122BC" w:rsidRDefault="00F122BC" w:rsidP="00F12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val="hr-HR" w:eastAsia="hr-HR"/>
        </w:rPr>
      </w:pPr>
      <w:r w:rsidRPr="00D446AC">
        <w:rPr>
          <w:rFonts w:ascii="Times New Roman" w:eastAsia="SimSun" w:hAnsi="Times New Roman"/>
          <w:color w:val="000000"/>
          <w:sz w:val="24"/>
          <w:szCs w:val="24"/>
          <w:lang w:val="hr-HR" w:eastAsia="hr-HR"/>
        </w:rPr>
        <w:t xml:space="preserve">Za 2. kriterij (električna energija iz obnovljivih izvora) primjenjuje se visina ponuđene količine obnovljivih izvora u postocima (%). Ponuda koja u usporedbi s ostalim ponudama nudi najviši </w:t>
      </w:r>
      <w:r w:rsidRPr="00D446AC">
        <w:rPr>
          <w:rFonts w:ascii="Times New Roman" w:eastAsia="SimSun" w:hAnsi="Times New Roman"/>
          <w:color w:val="000000"/>
          <w:sz w:val="24"/>
          <w:szCs w:val="24"/>
          <w:lang w:val="hr-HR" w:eastAsia="hr-HR"/>
        </w:rPr>
        <w:lastRenderedPageBreak/>
        <w:t xml:space="preserve">udio obnovljivih izvora, dobiva najviše bodova (uzima se u obzir postotak električne energije ponuđen iz obnovljivih izvora). </w:t>
      </w:r>
    </w:p>
    <w:p w14:paraId="0E0C898D" w14:textId="77777777" w:rsidR="00F122BC" w:rsidRDefault="00F122BC" w:rsidP="00F12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val="hr-HR" w:eastAsia="hr-HR"/>
        </w:rPr>
      </w:pPr>
    </w:p>
    <w:p w14:paraId="1205A6AA" w14:textId="28E00F73" w:rsidR="00F122BC" w:rsidRPr="00F122BC" w:rsidRDefault="00F122BC" w:rsidP="00F12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val="hr-HR" w:eastAsia="hr-HR"/>
        </w:rPr>
      </w:pPr>
      <m:oMathPara>
        <m:oMath>
          <m:r>
            <w:rPr>
              <w:rFonts w:ascii="Cambria Math" w:hAnsi="Cambria Math" w:cs="Cambria Math"/>
              <w:lang w:val="hr-HR"/>
            </w:rPr>
            <m:t>Z</m:t>
          </m:r>
          <m:r>
            <m:rPr>
              <m:sty m:val="p"/>
            </m:rPr>
            <w:rPr>
              <w:rFonts w:ascii="Cambria Math" w:hAnsi="Cambria Math" w:cs="Cambria Math"/>
              <w:lang w:val="hr-HR"/>
            </w:rPr>
            <m:t>=</m:t>
          </m:r>
          <m:f>
            <m:fPr>
              <m:ctrlPr>
                <w:rPr>
                  <w:rFonts w:ascii="Cambria Math" w:hAnsi="Cambria Math"/>
                  <w:lang w:val="hr-H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lang w:val="hr-HR"/>
                </w:rPr>
                <m:t>Zn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lang w:val="hr-HR"/>
                </w:rPr>
                <m:t xml:space="preserve">Zmax </m:t>
              </m:r>
            </m:den>
          </m:f>
          <m:r>
            <w:rPr>
              <w:rFonts w:ascii="Cambria Math" w:hAnsi="Cambria Math"/>
              <w:lang w:val="hr-HR"/>
            </w:rPr>
            <m:t xml:space="preserve"> x 10</m:t>
          </m:r>
        </m:oMath>
      </m:oMathPara>
    </w:p>
    <w:p w14:paraId="7DD78353" w14:textId="77777777" w:rsidR="00F122BC" w:rsidRDefault="00F122BC" w:rsidP="00F122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color w:val="000000"/>
          <w:sz w:val="24"/>
          <w:szCs w:val="24"/>
          <w:lang w:val="hr-HR" w:eastAsia="hr-HR"/>
        </w:rPr>
      </w:pPr>
    </w:p>
    <w:p w14:paraId="4FD5F080" w14:textId="77777777" w:rsidR="00F122BC" w:rsidRDefault="00F122BC" w:rsidP="00F122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color w:val="000000"/>
          <w:sz w:val="24"/>
          <w:szCs w:val="24"/>
          <w:lang w:val="hr-HR" w:eastAsia="hr-HR"/>
        </w:rPr>
      </w:pPr>
      <w:r w:rsidRPr="00D446AC">
        <w:rPr>
          <w:rFonts w:ascii="Times New Roman" w:eastAsia="SimSun" w:hAnsi="Times New Roman"/>
          <w:color w:val="000000"/>
          <w:sz w:val="24"/>
          <w:szCs w:val="24"/>
          <w:lang w:val="hr-HR" w:eastAsia="hr-HR"/>
        </w:rPr>
        <w:t>pri čemu je:</w:t>
      </w:r>
    </w:p>
    <w:p w14:paraId="5D784753" w14:textId="77777777" w:rsidR="00F122BC" w:rsidRDefault="00F122BC" w:rsidP="00F122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color w:val="000000"/>
          <w:sz w:val="24"/>
          <w:szCs w:val="24"/>
          <w:lang w:val="hr-HR" w:eastAsia="hr-HR"/>
        </w:rPr>
      </w:pPr>
      <w:r w:rsidRPr="00D446AC">
        <w:rPr>
          <w:rFonts w:ascii="Times New Roman" w:eastAsia="SimSun" w:hAnsi="Times New Roman"/>
          <w:color w:val="000000"/>
          <w:sz w:val="24"/>
          <w:szCs w:val="24"/>
          <w:lang w:val="hr-HR" w:eastAsia="hr-HR"/>
        </w:rPr>
        <w:t>Z – broj bodova za kriterij električna energija iz obnovljivih izvora</w:t>
      </w:r>
    </w:p>
    <w:p w14:paraId="6A551969" w14:textId="77777777" w:rsidR="00F122BC" w:rsidRDefault="00F122BC" w:rsidP="00F122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color w:val="000000"/>
          <w:sz w:val="24"/>
          <w:szCs w:val="24"/>
          <w:lang w:val="hr-HR" w:eastAsia="hr-HR"/>
        </w:rPr>
      </w:pPr>
      <w:r w:rsidRPr="00D446AC">
        <w:rPr>
          <w:rFonts w:ascii="Times New Roman" w:eastAsia="SimSun" w:hAnsi="Times New Roman"/>
          <w:color w:val="000000"/>
          <w:sz w:val="24"/>
          <w:szCs w:val="24"/>
          <w:lang w:val="hr-HR" w:eastAsia="hr-HR"/>
        </w:rPr>
        <w:t>Zn – postotak električne energije iz obnovljivih izvora energije usporedne ponude</w:t>
      </w:r>
    </w:p>
    <w:p w14:paraId="5DBCBE50" w14:textId="77777777" w:rsidR="00F122BC" w:rsidRDefault="00F122BC" w:rsidP="00F122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color w:val="000000"/>
          <w:sz w:val="24"/>
          <w:szCs w:val="24"/>
          <w:lang w:val="hr-HR" w:eastAsia="hr-HR"/>
        </w:rPr>
      </w:pPr>
      <w:proofErr w:type="spellStart"/>
      <w:r w:rsidRPr="00D446AC">
        <w:rPr>
          <w:rFonts w:ascii="Times New Roman" w:eastAsia="SimSun" w:hAnsi="Times New Roman"/>
          <w:color w:val="000000"/>
          <w:sz w:val="24"/>
          <w:szCs w:val="24"/>
          <w:lang w:val="hr-HR" w:eastAsia="hr-HR"/>
        </w:rPr>
        <w:t>Zmax</w:t>
      </w:r>
      <w:proofErr w:type="spellEnd"/>
      <w:r w:rsidRPr="00D446AC">
        <w:rPr>
          <w:rFonts w:ascii="Times New Roman" w:eastAsia="SimSun" w:hAnsi="Times New Roman"/>
          <w:color w:val="000000"/>
          <w:sz w:val="24"/>
          <w:szCs w:val="24"/>
          <w:lang w:val="hr-HR" w:eastAsia="hr-HR"/>
        </w:rPr>
        <w:t xml:space="preserve"> – ponuda sa najvišim postotkom električne energije iz obnovljivih izvora energije</w:t>
      </w:r>
    </w:p>
    <w:p w14:paraId="2CDDF5DB" w14:textId="77777777" w:rsidR="00F122BC" w:rsidRPr="00524370" w:rsidRDefault="00F122BC" w:rsidP="00F122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color w:val="000000"/>
          <w:sz w:val="24"/>
          <w:szCs w:val="24"/>
          <w:lang w:val="hr-HR" w:eastAsia="hr-HR"/>
        </w:rPr>
      </w:pPr>
      <w:r>
        <w:rPr>
          <w:rFonts w:ascii="Times New Roman" w:eastAsia="SimSun" w:hAnsi="Times New Roman"/>
          <w:color w:val="000000"/>
          <w:sz w:val="24"/>
          <w:szCs w:val="24"/>
          <w:lang w:val="hr-HR" w:eastAsia="hr-HR"/>
        </w:rPr>
        <w:t>10 =</w:t>
      </w:r>
      <w:r w:rsidRPr="00524370">
        <w:rPr>
          <w:rFonts w:ascii="Times New Roman" w:hAnsi="Times New Roman"/>
          <w:bCs/>
          <w:sz w:val="24"/>
          <w:szCs w:val="24"/>
        </w:rPr>
        <w:t xml:space="preserve"> </w:t>
      </w:r>
      <w:r w:rsidRPr="00ED199E">
        <w:rPr>
          <w:rFonts w:ascii="Times New Roman" w:hAnsi="Times New Roman"/>
          <w:bCs/>
          <w:sz w:val="24"/>
          <w:szCs w:val="24"/>
        </w:rPr>
        <w:t>maksimalni</w:t>
      </w:r>
      <w:r>
        <w:rPr>
          <w:rFonts w:ascii="Times New Roman" w:hAnsi="Times New Roman"/>
          <w:bCs/>
          <w:sz w:val="24"/>
          <w:szCs w:val="24"/>
        </w:rPr>
        <w:t xml:space="preserve"> broj bodova po kriteriju </w:t>
      </w:r>
      <w:r>
        <w:rPr>
          <w:rFonts w:ascii="Times New Roman" w:hAnsi="Times New Roman"/>
          <w:bCs/>
          <w:sz w:val="24"/>
          <w:szCs w:val="24"/>
          <w:lang w:val="hr-HR"/>
        </w:rPr>
        <w:t>električne energije iz obnovljivih izvora energije</w:t>
      </w:r>
    </w:p>
    <w:p w14:paraId="5A2D9086" w14:textId="77777777" w:rsidR="00F122BC" w:rsidRPr="00ED199E" w:rsidRDefault="00F122BC" w:rsidP="00F122BC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199E">
        <w:rPr>
          <w:rFonts w:ascii="Times New Roman" w:hAnsi="Times New Roman"/>
          <w:bCs/>
          <w:sz w:val="24"/>
          <w:szCs w:val="24"/>
        </w:rPr>
        <w:t>Ponuditelj je dužan priložiti izjavu u kojoj n</w:t>
      </w:r>
      <w:r>
        <w:rPr>
          <w:rFonts w:ascii="Times New Roman" w:hAnsi="Times New Roman"/>
          <w:bCs/>
          <w:sz w:val="24"/>
          <w:szCs w:val="24"/>
        </w:rPr>
        <w:t xml:space="preserve">avodi </w:t>
      </w:r>
      <w:r>
        <w:rPr>
          <w:rFonts w:ascii="Times New Roman" w:hAnsi="Times New Roman"/>
          <w:bCs/>
          <w:sz w:val="24"/>
          <w:szCs w:val="24"/>
          <w:lang w:val="hr-HR"/>
        </w:rPr>
        <w:t>postotak električne energije iz obnovljivih izvora</w:t>
      </w:r>
      <w:r w:rsidRPr="00ED199E">
        <w:rPr>
          <w:rFonts w:ascii="Times New Roman" w:hAnsi="Times New Roman"/>
          <w:bCs/>
          <w:sz w:val="24"/>
          <w:szCs w:val="24"/>
        </w:rPr>
        <w:t xml:space="preserve">. Predložak izjave nalazi se u </w:t>
      </w:r>
      <w:r w:rsidRPr="00261DC8">
        <w:rPr>
          <w:rFonts w:ascii="Times New Roman" w:hAnsi="Times New Roman"/>
          <w:bCs/>
          <w:sz w:val="24"/>
          <w:szCs w:val="24"/>
        </w:rPr>
        <w:t xml:space="preserve">Prilogu </w:t>
      </w:r>
      <w:r w:rsidRPr="00261DC8">
        <w:rPr>
          <w:rFonts w:ascii="Times New Roman" w:hAnsi="Times New Roman"/>
          <w:bCs/>
          <w:sz w:val="24"/>
          <w:szCs w:val="24"/>
          <w:lang w:val="hr-HR"/>
        </w:rPr>
        <w:t>I</w:t>
      </w:r>
      <w:r w:rsidRPr="00261DC8">
        <w:rPr>
          <w:rFonts w:ascii="Times New Roman" w:hAnsi="Times New Roman"/>
          <w:bCs/>
          <w:sz w:val="24"/>
          <w:szCs w:val="24"/>
        </w:rPr>
        <w:t>V.</w:t>
      </w:r>
      <w:r w:rsidRPr="00ED199E">
        <w:rPr>
          <w:rFonts w:ascii="Times New Roman" w:hAnsi="Times New Roman"/>
          <w:bCs/>
          <w:sz w:val="24"/>
          <w:szCs w:val="24"/>
        </w:rPr>
        <w:t xml:space="preserve"> ove Dokumentacije.</w:t>
      </w:r>
    </w:p>
    <w:p w14:paraId="210E46D7" w14:textId="77777777" w:rsidR="00F122BC" w:rsidRPr="00ED199E" w:rsidRDefault="00F122BC" w:rsidP="00F122BC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199E">
        <w:rPr>
          <w:rFonts w:ascii="Times New Roman" w:hAnsi="Times New Roman"/>
          <w:b/>
          <w:bCs/>
          <w:sz w:val="24"/>
          <w:szCs w:val="24"/>
        </w:rPr>
        <w:t>Određivanje najpovoljnije</w:t>
      </w:r>
      <w:r w:rsidRPr="00ED199E">
        <w:rPr>
          <w:rFonts w:ascii="Times New Roman" w:hAnsi="Times New Roman"/>
          <w:b/>
          <w:bCs/>
          <w:sz w:val="24"/>
          <w:szCs w:val="24"/>
          <w:lang w:val="hr-HR"/>
        </w:rPr>
        <w:t>g</w:t>
      </w:r>
      <w:r w:rsidRPr="00ED199E">
        <w:rPr>
          <w:rFonts w:ascii="Times New Roman" w:hAnsi="Times New Roman"/>
          <w:b/>
          <w:bCs/>
          <w:sz w:val="24"/>
          <w:szCs w:val="24"/>
        </w:rPr>
        <w:t xml:space="preserve"> ponuditelja prema navedenim kriterijima za odabir ekonomski najpovoljnije ponude:</w:t>
      </w:r>
    </w:p>
    <w:p w14:paraId="3BC057A2" w14:textId="77777777" w:rsidR="00F122BC" w:rsidRPr="00ED199E" w:rsidRDefault="00F122BC" w:rsidP="00F122BC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Nakon što N</w:t>
      </w:r>
      <w:r w:rsidRPr="00ED199E">
        <w:rPr>
          <w:rFonts w:ascii="Times New Roman" w:hAnsi="Times New Roman"/>
          <w:bCs/>
          <w:sz w:val="24"/>
          <w:szCs w:val="24"/>
        </w:rPr>
        <w:t xml:space="preserve">aručitelj za svakog ponuditelja utvrdi bodovnu vrijednost prema pojedinim kriterijima, zbrojit će se bodovi dodijeljeni mu po svakom od kriterija kako bi se dobio ukupan broj </w:t>
      </w:r>
      <w:r>
        <w:rPr>
          <w:rFonts w:ascii="Times New Roman" w:hAnsi="Times New Roman"/>
          <w:bCs/>
          <w:sz w:val="24"/>
          <w:szCs w:val="24"/>
        </w:rPr>
        <w:t xml:space="preserve">bodova za pojedinog ponuditelja. </w:t>
      </w:r>
    </w:p>
    <w:p w14:paraId="5CEEBE29" w14:textId="77777777" w:rsidR="00F122BC" w:rsidRPr="00ED199E" w:rsidRDefault="00F122BC" w:rsidP="00F122BC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199E">
        <w:rPr>
          <w:rFonts w:ascii="Times New Roman" w:hAnsi="Times New Roman"/>
          <w:bCs/>
          <w:sz w:val="24"/>
          <w:szCs w:val="24"/>
        </w:rPr>
        <w:t>Formula po kojoj se izračunava ekonomski najpovoljnija ponuda je:</w:t>
      </w:r>
    </w:p>
    <w:p w14:paraId="4E0222B4" w14:textId="77777777" w:rsidR="00F122BC" w:rsidRPr="00ED199E" w:rsidRDefault="00F122BC" w:rsidP="00F122BC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 = C + </w:t>
      </w:r>
      <w:r>
        <w:rPr>
          <w:rFonts w:ascii="Times New Roman" w:hAnsi="Times New Roman"/>
          <w:bCs/>
          <w:sz w:val="24"/>
          <w:szCs w:val="24"/>
          <w:lang w:val="hr-HR"/>
        </w:rPr>
        <w:t>Z</w:t>
      </w:r>
      <w:r w:rsidRPr="00ED199E">
        <w:rPr>
          <w:rFonts w:ascii="Times New Roman" w:hAnsi="Times New Roman"/>
          <w:bCs/>
          <w:sz w:val="24"/>
          <w:szCs w:val="24"/>
        </w:rPr>
        <w:t xml:space="preserve"> </w:t>
      </w:r>
    </w:p>
    <w:p w14:paraId="42FA3E3D" w14:textId="77777777" w:rsidR="00F122BC" w:rsidRPr="00ED199E" w:rsidRDefault="00F122BC" w:rsidP="00F122BC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199E">
        <w:rPr>
          <w:rFonts w:ascii="Times New Roman" w:hAnsi="Times New Roman"/>
          <w:bCs/>
          <w:sz w:val="24"/>
          <w:szCs w:val="24"/>
        </w:rPr>
        <w:t>T = ukupan broj bodova</w:t>
      </w:r>
    </w:p>
    <w:p w14:paraId="153284C0" w14:textId="77777777" w:rsidR="00F122BC" w:rsidRPr="00ED199E" w:rsidRDefault="00F122BC" w:rsidP="00F122BC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199E">
        <w:rPr>
          <w:rFonts w:ascii="Times New Roman" w:hAnsi="Times New Roman"/>
          <w:bCs/>
          <w:sz w:val="24"/>
          <w:szCs w:val="24"/>
        </w:rPr>
        <w:t>C = broj bodova koji je ponuda dobila za ponuđenu cijenu</w:t>
      </w:r>
    </w:p>
    <w:p w14:paraId="4E1B8461" w14:textId="77777777" w:rsidR="00F122BC" w:rsidRPr="00882BD4" w:rsidRDefault="00F122BC" w:rsidP="00F122BC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Z</w:t>
      </w:r>
      <w:r w:rsidRPr="00ED199E">
        <w:rPr>
          <w:rFonts w:ascii="Times New Roman" w:hAnsi="Times New Roman"/>
          <w:bCs/>
          <w:sz w:val="24"/>
          <w:szCs w:val="24"/>
        </w:rPr>
        <w:t xml:space="preserve"> = broj bodova ko</w:t>
      </w:r>
      <w:r>
        <w:rPr>
          <w:rFonts w:ascii="Times New Roman" w:hAnsi="Times New Roman"/>
          <w:bCs/>
          <w:sz w:val="24"/>
          <w:szCs w:val="24"/>
        </w:rPr>
        <w:t xml:space="preserve">ji je ponuda dobila za </w:t>
      </w:r>
      <w:r>
        <w:rPr>
          <w:rFonts w:ascii="Times New Roman" w:hAnsi="Times New Roman"/>
          <w:bCs/>
          <w:sz w:val="24"/>
          <w:szCs w:val="24"/>
          <w:lang w:val="hr-HR"/>
        </w:rPr>
        <w:t>električnu energiju iz obnovljivih izvora energije</w:t>
      </w:r>
    </w:p>
    <w:p w14:paraId="10B253C9" w14:textId="77777777" w:rsidR="00F122BC" w:rsidRPr="00ED199E" w:rsidRDefault="00F122BC" w:rsidP="00F122BC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199E">
        <w:rPr>
          <w:rFonts w:ascii="Times New Roman" w:hAnsi="Times New Roman"/>
          <w:b/>
          <w:bCs/>
          <w:sz w:val="24"/>
          <w:szCs w:val="24"/>
        </w:rPr>
        <w:t xml:space="preserve">Najpovoljnija je ona ponuda čiji je ukupni broj bodova najveći odnosno najbliži 100. </w:t>
      </w:r>
    </w:p>
    <w:p w14:paraId="2444F1A1" w14:textId="77777777" w:rsidR="00F122BC" w:rsidRPr="00ED199E" w:rsidRDefault="00F122BC" w:rsidP="00F122BC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199E">
        <w:rPr>
          <w:rFonts w:ascii="Times New Roman" w:hAnsi="Times New Roman"/>
          <w:b/>
          <w:bCs/>
          <w:sz w:val="24"/>
          <w:szCs w:val="24"/>
        </w:rPr>
        <w:t>Sukladno članku 302. stavak 3. ZJN 2016 ako su dvije ili više ponuda jednako rangirane pre</w:t>
      </w:r>
      <w:r>
        <w:rPr>
          <w:rFonts w:ascii="Times New Roman" w:hAnsi="Times New Roman"/>
          <w:b/>
          <w:bCs/>
          <w:sz w:val="24"/>
          <w:szCs w:val="24"/>
        </w:rPr>
        <w:t>ma kriteriju za odabir ponude, N</w:t>
      </w:r>
      <w:r w:rsidRPr="00ED199E">
        <w:rPr>
          <w:rFonts w:ascii="Times New Roman" w:hAnsi="Times New Roman"/>
          <w:b/>
          <w:bCs/>
          <w:sz w:val="24"/>
          <w:szCs w:val="24"/>
        </w:rPr>
        <w:t>aručitelj će odabrati ponudu koja je ranije zaprimljena.</w:t>
      </w:r>
    </w:p>
    <w:p w14:paraId="729E5373" w14:textId="77777777" w:rsidR="00E74B9A" w:rsidRDefault="00E74B9A"/>
    <w:sectPr w:rsidR="00E7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BC"/>
    <w:rsid w:val="002A6F03"/>
    <w:rsid w:val="009001D0"/>
    <w:rsid w:val="00E74B9A"/>
    <w:rsid w:val="00F1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E366"/>
  <w15:chartTrackingRefBased/>
  <w15:docId w15:val="{D57EEE5B-19E7-4213-9B2E-438DBEF5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BC"/>
    <w:pPr>
      <w:spacing w:after="200" w:line="276" w:lineRule="auto"/>
    </w:pPr>
    <w:rPr>
      <w:rFonts w:ascii="Calibri" w:eastAsia="Calibri" w:hAnsi="Calibri" w:cs="Times New Roman"/>
      <w:kern w:val="0"/>
      <w:lang w:val="bg-BG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122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122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22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22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122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122B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122B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122B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122B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12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12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122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122B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122B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122B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122B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122B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122B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12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12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122B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12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122B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122B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122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122B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12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122B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12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Visic</dc:creator>
  <cp:keywords/>
  <dc:description/>
  <cp:lastModifiedBy>Zeljko Visic</cp:lastModifiedBy>
  <cp:revision>1</cp:revision>
  <dcterms:created xsi:type="dcterms:W3CDTF">2025-08-07T16:41:00Z</dcterms:created>
  <dcterms:modified xsi:type="dcterms:W3CDTF">2025-08-07T16:45:00Z</dcterms:modified>
</cp:coreProperties>
</file>